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2E" w:rsidRPr="0014152E" w:rsidRDefault="0014152E" w:rsidP="0014152E">
      <w:pPr>
        <w:jc w:val="center"/>
        <w:rPr>
          <w:b/>
        </w:rPr>
      </w:pPr>
      <w:bookmarkStart w:id="0" w:name="_GoBack"/>
      <w:bookmarkEnd w:id="0"/>
      <w:r w:rsidRPr="0014152E">
        <w:rPr>
          <w:b/>
        </w:rPr>
        <w:t xml:space="preserve">Evaluasi </w:t>
      </w:r>
      <w:proofErr w:type="spellStart"/>
      <w:r w:rsidRPr="0014152E">
        <w:rPr>
          <w:b/>
          <w:lang w:val="en-US"/>
        </w:rPr>
        <w:t>Peresepan</w:t>
      </w:r>
      <w:proofErr w:type="spellEnd"/>
      <w:r w:rsidRPr="0014152E">
        <w:rPr>
          <w:b/>
          <w:lang w:val="en-US"/>
        </w:rPr>
        <w:t xml:space="preserve"> </w:t>
      </w:r>
      <w:r w:rsidRPr="0014152E">
        <w:rPr>
          <w:b/>
        </w:rPr>
        <w:t>Antibiotik Di Instalasi Gawat Darurat Rsud Kota Mataram</w:t>
      </w:r>
    </w:p>
    <w:p w:rsidR="007B5271" w:rsidRDefault="0014152E" w:rsidP="0014152E">
      <w:pPr>
        <w:jc w:val="center"/>
        <w:rPr>
          <w:rFonts w:eastAsia="Times New Roman" w:cs="Times New Roman"/>
          <w:bCs/>
          <w:i/>
          <w:color w:val="000000"/>
          <w:szCs w:val="24"/>
          <w:lang w:val="en-US"/>
        </w:rPr>
      </w:pPr>
      <w:r w:rsidRPr="0014152E">
        <w:rPr>
          <w:rFonts w:eastAsia="Times New Roman" w:cs="Times New Roman"/>
          <w:bCs/>
          <w:i/>
          <w:color w:val="000000"/>
          <w:szCs w:val="24"/>
          <w:lang w:val="en-US"/>
        </w:rPr>
        <w:t xml:space="preserve">Evaluation Prescribing Of Antibiotics In The Emergency Installation Region Hospitality </w:t>
      </w:r>
      <w:proofErr w:type="gramStart"/>
      <w:r w:rsidRPr="0014152E">
        <w:rPr>
          <w:rFonts w:eastAsia="Times New Roman" w:cs="Times New Roman"/>
          <w:bCs/>
          <w:i/>
          <w:color w:val="000000"/>
          <w:szCs w:val="24"/>
          <w:lang w:val="en-US"/>
        </w:rPr>
        <w:t xml:space="preserve">Of  </w:t>
      </w:r>
      <w:proofErr w:type="spellStart"/>
      <w:r w:rsidRPr="0014152E">
        <w:rPr>
          <w:rFonts w:eastAsia="Times New Roman" w:cs="Times New Roman"/>
          <w:bCs/>
          <w:i/>
          <w:color w:val="000000"/>
          <w:szCs w:val="24"/>
          <w:lang w:val="en-US"/>
        </w:rPr>
        <w:t>Mataram</w:t>
      </w:r>
      <w:proofErr w:type="spellEnd"/>
      <w:proofErr w:type="gramEnd"/>
      <w:r w:rsidRPr="0014152E">
        <w:rPr>
          <w:rFonts w:eastAsia="Times New Roman" w:cs="Times New Roman"/>
          <w:bCs/>
          <w:i/>
          <w:color w:val="000000"/>
          <w:szCs w:val="24"/>
          <w:lang w:val="en-US"/>
        </w:rPr>
        <w:t xml:space="preserve"> </w:t>
      </w:r>
    </w:p>
    <w:p w:rsidR="0014152E" w:rsidRDefault="0014152E" w:rsidP="0014152E">
      <w:pPr>
        <w:jc w:val="center"/>
        <w:rPr>
          <w:rFonts w:eastAsia="Times New Roman" w:cs="Times New Roman"/>
          <w:bCs/>
          <w:color w:val="000000"/>
          <w:szCs w:val="24"/>
          <w:lang w:val="en-US"/>
        </w:rPr>
      </w:pPr>
      <w:proofErr w:type="spellStart"/>
      <w:r>
        <w:rPr>
          <w:rFonts w:eastAsia="Times New Roman" w:cs="Times New Roman"/>
          <w:bCs/>
          <w:color w:val="000000"/>
          <w:szCs w:val="24"/>
          <w:lang w:val="en-US"/>
        </w:rPr>
        <w:t>Lingga</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Algifari</w:t>
      </w:r>
      <w:proofErr w:type="spellEnd"/>
      <w:r>
        <w:rPr>
          <w:rFonts w:eastAsia="Times New Roman" w:cs="Times New Roman"/>
          <w:bCs/>
          <w:color w:val="000000"/>
          <w:szCs w:val="24"/>
          <w:lang w:val="en-US"/>
        </w:rPr>
        <w:t xml:space="preserve"> </w:t>
      </w:r>
      <w:r>
        <w:rPr>
          <w:rFonts w:eastAsia="Times New Roman" w:cs="Times New Roman"/>
          <w:bCs/>
          <w:color w:val="000000"/>
          <w:szCs w:val="24"/>
          <w:vertAlign w:val="superscript"/>
          <w:lang w:val="en-US"/>
        </w:rPr>
        <w:t>(1)</w:t>
      </w:r>
      <w:r>
        <w:rPr>
          <w:rFonts w:eastAsia="Times New Roman" w:cs="Times New Roman"/>
          <w:bCs/>
          <w:color w:val="000000"/>
          <w:szCs w:val="24"/>
          <w:lang w:val="en-US"/>
        </w:rPr>
        <w:t xml:space="preserve">, Dian </w:t>
      </w:r>
      <w:proofErr w:type="spellStart"/>
      <w:r>
        <w:rPr>
          <w:rFonts w:eastAsia="Times New Roman" w:cs="Times New Roman"/>
          <w:bCs/>
          <w:color w:val="000000"/>
          <w:szCs w:val="24"/>
          <w:lang w:val="en-US"/>
        </w:rPr>
        <w:t>Oktianti</w:t>
      </w:r>
      <w:proofErr w:type="spellEnd"/>
      <w:r>
        <w:rPr>
          <w:rFonts w:eastAsia="Times New Roman" w:cs="Times New Roman"/>
          <w:bCs/>
          <w:color w:val="000000"/>
          <w:szCs w:val="24"/>
          <w:lang w:val="en-US"/>
        </w:rPr>
        <w:t xml:space="preserve"> </w:t>
      </w:r>
      <w:r>
        <w:rPr>
          <w:rFonts w:eastAsia="Times New Roman" w:cs="Times New Roman"/>
          <w:bCs/>
          <w:color w:val="000000"/>
          <w:szCs w:val="24"/>
          <w:vertAlign w:val="superscript"/>
          <w:lang w:val="en-US"/>
        </w:rPr>
        <w:t>(2)</w:t>
      </w:r>
    </w:p>
    <w:p w:rsidR="0014152E" w:rsidRDefault="0014152E" w:rsidP="0014152E">
      <w:pPr>
        <w:jc w:val="center"/>
        <w:rPr>
          <w:rFonts w:eastAsia="Times New Roman" w:cs="Times New Roman"/>
          <w:bCs/>
          <w:color w:val="000000"/>
          <w:szCs w:val="24"/>
          <w:lang w:val="en-US"/>
        </w:rPr>
      </w:pPr>
      <w:r>
        <w:rPr>
          <w:rFonts w:eastAsia="Times New Roman" w:cs="Times New Roman"/>
          <w:bCs/>
          <w:color w:val="000000"/>
          <w:szCs w:val="24"/>
          <w:lang w:val="en-US"/>
        </w:rPr>
        <w:t xml:space="preserve">Program </w:t>
      </w:r>
      <w:proofErr w:type="spellStart"/>
      <w:r>
        <w:rPr>
          <w:rFonts w:eastAsia="Times New Roman" w:cs="Times New Roman"/>
          <w:bCs/>
          <w:color w:val="000000"/>
          <w:szCs w:val="24"/>
          <w:lang w:val="en-US"/>
        </w:rPr>
        <w:t>Studi</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Farmasi</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Fakultas</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Kesehatan</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Universitas</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Ngudi</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Waluyo</w:t>
      </w:r>
      <w:proofErr w:type="spellEnd"/>
    </w:p>
    <w:p w:rsidR="0014152E" w:rsidRDefault="0014152E" w:rsidP="0014152E">
      <w:pPr>
        <w:jc w:val="center"/>
        <w:rPr>
          <w:rFonts w:eastAsia="Times New Roman" w:cs="Times New Roman"/>
          <w:bCs/>
          <w:color w:val="000000"/>
          <w:szCs w:val="24"/>
          <w:lang w:val="en-US"/>
        </w:rPr>
      </w:pPr>
      <w:proofErr w:type="spellStart"/>
      <w:r>
        <w:rPr>
          <w:rFonts w:eastAsia="Times New Roman" w:cs="Times New Roman"/>
          <w:bCs/>
          <w:color w:val="000000"/>
          <w:szCs w:val="24"/>
          <w:lang w:val="en-US"/>
        </w:rPr>
        <w:t>Instalasi</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Gawat</w:t>
      </w:r>
      <w:proofErr w:type="spellEnd"/>
      <w:r>
        <w:rPr>
          <w:rFonts w:eastAsia="Times New Roman" w:cs="Times New Roman"/>
          <w:bCs/>
          <w:color w:val="000000"/>
          <w:szCs w:val="24"/>
          <w:lang w:val="en-US"/>
        </w:rPr>
        <w:t xml:space="preserve"> </w:t>
      </w:r>
      <w:proofErr w:type="spellStart"/>
      <w:r>
        <w:rPr>
          <w:rFonts w:eastAsia="Times New Roman" w:cs="Times New Roman"/>
          <w:bCs/>
          <w:color w:val="000000"/>
          <w:szCs w:val="24"/>
          <w:lang w:val="en-US"/>
        </w:rPr>
        <w:t>Darurat</w:t>
      </w:r>
      <w:proofErr w:type="spellEnd"/>
      <w:r>
        <w:rPr>
          <w:rFonts w:eastAsia="Times New Roman" w:cs="Times New Roman"/>
          <w:bCs/>
          <w:color w:val="000000"/>
          <w:szCs w:val="24"/>
          <w:lang w:val="en-US"/>
        </w:rPr>
        <w:t xml:space="preserve">, RSUD Kota </w:t>
      </w:r>
      <w:proofErr w:type="spellStart"/>
      <w:r>
        <w:rPr>
          <w:rFonts w:eastAsia="Times New Roman" w:cs="Times New Roman"/>
          <w:bCs/>
          <w:color w:val="000000"/>
          <w:szCs w:val="24"/>
          <w:lang w:val="en-US"/>
        </w:rPr>
        <w:t>Mataram</w:t>
      </w:r>
      <w:proofErr w:type="spellEnd"/>
    </w:p>
    <w:p w:rsidR="0014152E" w:rsidRDefault="0014152E" w:rsidP="0014152E">
      <w:pPr>
        <w:jc w:val="center"/>
        <w:rPr>
          <w:rFonts w:eastAsia="Times New Roman" w:cs="Times New Roman"/>
          <w:bCs/>
          <w:color w:val="000000"/>
          <w:szCs w:val="24"/>
          <w:lang w:val="en-US"/>
        </w:rPr>
      </w:pPr>
      <w:proofErr w:type="gramStart"/>
      <w:r>
        <w:rPr>
          <w:rFonts w:eastAsia="Times New Roman" w:cs="Times New Roman"/>
          <w:bCs/>
          <w:color w:val="000000"/>
          <w:szCs w:val="24"/>
          <w:lang w:val="en-US"/>
        </w:rPr>
        <w:t>Email :</w:t>
      </w:r>
      <w:proofErr w:type="gramEnd"/>
      <w:r>
        <w:rPr>
          <w:rFonts w:eastAsia="Times New Roman" w:cs="Times New Roman"/>
          <w:bCs/>
          <w:color w:val="000000"/>
          <w:szCs w:val="24"/>
          <w:lang w:val="en-US"/>
        </w:rPr>
        <w:t>,-</w:t>
      </w:r>
    </w:p>
    <w:p w:rsidR="0014152E" w:rsidRDefault="0014152E" w:rsidP="0014152E">
      <w:pPr>
        <w:jc w:val="center"/>
        <w:rPr>
          <w:rFonts w:eastAsia="Times New Roman" w:cs="Times New Roman"/>
          <w:bCs/>
          <w:color w:val="000000"/>
          <w:szCs w:val="24"/>
          <w:lang w:val="en-US"/>
        </w:rPr>
      </w:pPr>
    </w:p>
    <w:p w:rsidR="0014152E" w:rsidRDefault="0014152E" w:rsidP="0014152E">
      <w:pPr>
        <w:jc w:val="center"/>
        <w:rPr>
          <w:rFonts w:eastAsia="Times New Roman" w:cs="Times New Roman"/>
          <w:bCs/>
          <w:color w:val="000000"/>
          <w:szCs w:val="24"/>
          <w:lang w:val="en-US"/>
        </w:rPr>
      </w:pPr>
      <w:r>
        <w:rPr>
          <w:rFonts w:eastAsia="Times New Roman" w:cs="Times New Roman"/>
          <w:bCs/>
          <w:color w:val="000000"/>
          <w:szCs w:val="24"/>
          <w:lang w:val="en-US"/>
        </w:rPr>
        <w:t>ABSTRAK</w:t>
      </w:r>
    </w:p>
    <w:p w:rsidR="0014152E" w:rsidRDefault="0014152E" w:rsidP="0014152E">
      <w:pPr>
        <w:rPr>
          <w:rFonts w:eastAsia="Times New Roman" w:cs="Times New Roman"/>
          <w:color w:val="000000"/>
          <w:szCs w:val="24"/>
          <w:lang w:val="en-US"/>
        </w:rPr>
      </w:pPr>
      <w:r w:rsidRPr="00776D23">
        <w:rPr>
          <w:rFonts w:cs="Times New Roman"/>
          <w:noProof/>
          <w:szCs w:val="24"/>
          <w:lang w:val="en-ID"/>
        </w:rPr>
        <w:t xml:space="preserve">Antibiotik merupakan senyawa alami maupun buatan yang digunakan untuk mengobati penyakit yang diakibatkan oleh bakteri. Ketepatan pemberian antibiotik menjadi kunci dalam mempercepat kesembuhan pasien tanpa menyebabkan efek samping yang tidak diinginkan. </w:t>
      </w:r>
      <w:r>
        <w:rPr>
          <w:rFonts w:cs="Times New Roman"/>
          <w:noProof/>
          <w:szCs w:val="24"/>
          <w:lang w:val="en-ID"/>
        </w:rPr>
        <w:t xml:space="preserve">Penelitian ini </w:t>
      </w:r>
      <w:r w:rsidRPr="00776D23">
        <w:rPr>
          <w:rFonts w:cs="Times New Roman"/>
          <w:noProof/>
          <w:szCs w:val="24"/>
          <w:lang w:val="en-ID"/>
        </w:rPr>
        <w:t xml:space="preserve">bertujuan untuk </w:t>
      </w:r>
      <w:r>
        <w:rPr>
          <w:rFonts w:cs="Times New Roman"/>
          <w:noProof/>
          <w:szCs w:val="24"/>
          <w:lang w:val="en-ID"/>
        </w:rPr>
        <w:t xml:space="preserve">mengevaluasi pemberian </w:t>
      </w:r>
      <w:r w:rsidRPr="00776D23">
        <w:rPr>
          <w:rFonts w:cs="Times New Roman"/>
          <w:noProof/>
          <w:szCs w:val="24"/>
          <w:lang w:val="en-ID"/>
        </w:rPr>
        <w:t>antibiotik menggunakan indikator berupa tepat indikasi, tepat dosis dan tepat pasien</w:t>
      </w:r>
      <w:r>
        <w:rPr>
          <w:rFonts w:cs="Times New Roman"/>
          <w:noProof/>
          <w:szCs w:val="24"/>
          <w:lang w:val="en-ID"/>
        </w:rPr>
        <w:t>. E</w:t>
      </w:r>
      <w:r w:rsidRPr="00776D23">
        <w:rPr>
          <w:rFonts w:cs="Times New Roman"/>
          <w:noProof/>
          <w:szCs w:val="24"/>
          <w:lang w:val="en-ID"/>
        </w:rPr>
        <w:t>valuasi antibiotik dilakukan pada pasien instalasi gawat darura</w:t>
      </w:r>
      <w:r>
        <w:rPr>
          <w:rFonts w:cs="Times New Roman"/>
          <w:noProof/>
          <w:szCs w:val="24"/>
          <w:lang w:val="en-ID"/>
        </w:rPr>
        <w:t>t RSUD Kota Mataram pada bulan A</w:t>
      </w:r>
      <w:r w:rsidRPr="00776D23">
        <w:rPr>
          <w:rFonts w:cs="Times New Roman"/>
          <w:noProof/>
          <w:szCs w:val="24"/>
          <w:lang w:val="en-ID"/>
        </w:rPr>
        <w:t>pril 2021.</w:t>
      </w:r>
      <w:r>
        <w:rPr>
          <w:rFonts w:cs="Times New Roman"/>
          <w:noProof/>
          <w:szCs w:val="24"/>
          <w:lang w:val="en-ID"/>
        </w:rPr>
        <w:t xml:space="preserve"> </w:t>
      </w:r>
      <w:proofErr w:type="gramStart"/>
      <w:r w:rsidRPr="00776D23">
        <w:rPr>
          <w:rFonts w:cs="Times New Roman"/>
          <w:noProof/>
          <w:szCs w:val="24"/>
          <w:lang w:val="en-ID"/>
        </w:rPr>
        <w:t xml:space="preserve">penelitian ini termasuk dalam </w:t>
      </w:r>
      <w:proofErr w:type="spellStart"/>
      <w:r w:rsidRPr="00776D23">
        <w:rPr>
          <w:rFonts w:cs="Times New Roman"/>
          <w:szCs w:val="24"/>
          <w:lang w:val="en-US"/>
        </w:rPr>
        <w:t>penelitian</w:t>
      </w:r>
      <w:proofErr w:type="spellEnd"/>
      <w:r w:rsidRPr="00776D23">
        <w:rPr>
          <w:rFonts w:cs="Times New Roman"/>
          <w:szCs w:val="24"/>
          <w:lang w:val="en-US"/>
        </w:rPr>
        <w:t xml:space="preserve"> </w:t>
      </w:r>
      <w:r w:rsidRPr="00776D23">
        <w:rPr>
          <w:rFonts w:cs="Times New Roman"/>
          <w:szCs w:val="24"/>
        </w:rPr>
        <w:t>deskripti</w:t>
      </w:r>
      <w:r w:rsidRPr="00776D23">
        <w:rPr>
          <w:rFonts w:cs="Times New Roman"/>
          <w:szCs w:val="24"/>
          <w:lang w:val="en-US"/>
        </w:rPr>
        <w:t>f</w:t>
      </w:r>
      <w:r w:rsidRPr="00776D23">
        <w:rPr>
          <w:rFonts w:cs="Times New Roman"/>
          <w:szCs w:val="24"/>
        </w:rPr>
        <w:t xml:space="preserve"> analiti</w:t>
      </w:r>
      <w:r w:rsidRPr="00776D23">
        <w:rPr>
          <w:rFonts w:cs="Times New Roman"/>
          <w:szCs w:val="24"/>
          <w:lang w:val="en-US"/>
        </w:rPr>
        <w:t xml:space="preserve">f </w:t>
      </w:r>
      <w:proofErr w:type="spellStart"/>
      <w:r w:rsidRPr="00776D23">
        <w:rPr>
          <w:rFonts w:cs="Times New Roman"/>
          <w:szCs w:val="24"/>
          <w:lang w:val="en-US"/>
        </w:rPr>
        <w:t>dengan</w:t>
      </w:r>
      <w:proofErr w:type="spellEnd"/>
      <w:r w:rsidRPr="00776D23">
        <w:rPr>
          <w:rFonts w:cs="Times New Roman"/>
          <w:szCs w:val="24"/>
          <w:lang w:val="en-US"/>
        </w:rPr>
        <w:t xml:space="preserve"> </w:t>
      </w:r>
      <w:proofErr w:type="spellStart"/>
      <w:r w:rsidRPr="00776D23">
        <w:rPr>
          <w:rFonts w:cs="Times New Roman"/>
          <w:szCs w:val="24"/>
          <w:lang w:val="en-US"/>
        </w:rPr>
        <w:t>penga</w:t>
      </w:r>
      <w:r>
        <w:rPr>
          <w:rFonts w:cs="Times New Roman"/>
          <w:szCs w:val="24"/>
          <w:lang w:val="en-US"/>
        </w:rPr>
        <w:t>mbilan</w:t>
      </w:r>
      <w:proofErr w:type="spellEnd"/>
      <w:r>
        <w:rPr>
          <w:rFonts w:cs="Times New Roman"/>
          <w:szCs w:val="24"/>
          <w:lang w:val="en-US"/>
        </w:rPr>
        <w:t xml:space="preserve"> data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retrospektif</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jumlah</w:t>
      </w:r>
      <w:proofErr w:type="spellEnd"/>
      <w:r>
        <w:rPr>
          <w:rFonts w:cs="Times New Roman"/>
          <w:szCs w:val="24"/>
          <w:lang w:val="en-US"/>
        </w:rPr>
        <w:t xml:space="preserve"> </w:t>
      </w:r>
      <w:proofErr w:type="spellStart"/>
      <w:r>
        <w:rPr>
          <w:rFonts w:cs="Times New Roman"/>
          <w:szCs w:val="24"/>
          <w:lang w:val="en-US"/>
        </w:rPr>
        <w:t>sampel</w:t>
      </w:r>
      <w:proofErr w:type="spellEnd"/>
      <w:r>
        <w:rPr>
          <w:rFonts w:cs="Times New Roman"/>
          <w:szCs w:val="24"/>
          <w:lang w:val="en-US"/>
        </w:rPr>
        <w:t xml:space="preserve"> 60 </w:t>
      </w:r>
      <w:proofErr w:type="spellStart"/>
      <w:r>
        <w:rPr>
          <w:rFonts w:cs="Times New Roman"/>
          <w:szCs w:val="24"/>
          <w:lang w:val="en-US"/>
        </w:rPr>
        <w:t>rekam</w:t>
      </w:r>
      <w:proofErr w:type="spellEnd"/>
      <w:r>
        <w:rPr>
          <w:rFonts w:cs="Times New Roman"/>
          <w:szCs w:val="24"/>
          <w:lang w:val="en-US"/>
        </w:rPr>
        <w:t xml:space="preserve"> medic.</w:t>
      </w:r>
      <w:proofErr w:type="gramEnd"/>
      <w:r>
        <w:rPr>
          <w:rFonts w:cs="Times New Roman"/>
          <w:szCs w:val="24"/>
          <w:lang w:val="en-US"/>
        </w:rPr>
        <w:t xml:space="preserve"> </w:t>
      </w:r>
      <w:proofErr w:type="spellStart"/>
      <w:r w:rsidRPr="00776D23">
        <w:rPr>
          <w:rFonts w:cs="Times New Roman"/>
          <w:szCs w:val="24"/>
          <w:lang w:val="en-US"/>
        </w:rPr>
        <w:t>Berdasarkan</w:t>
      </w:r>
      <w:proofErr w:type="spellEnd"/>
      <w:r w:rsidRPr="00776D23">
        <w:rPr>
          <w:rFonts w:cs="Times New Roman"/>
          <w:szCs w:val="24"/>
          <w:lang w:val="en-US"/>
        </w:rPr>
        <w:t xml:space="preserve"> </w:t>
      </w:r>
      <w:proofErr w:type="spellStart"/>
      <w:r w:rsidRPr="00776D23">
        <w:rPr>
          <w:rFonts w:cs="Times New Roman"/>
          <w:szCs w:val="24"/>
          <w:lang w:val="en-US"/>
        </w:rPr>
        <w:t>dari</w:t>
      </w:r>
      <w:proofErr w:type="spellEnd"/>
      <w:r w:rsidRPr="00776D23">
        <w:rPr>
          <w:rFonts w:cs="Times New Roman"/>
          <w:szCs w:val="24"/>
          <w:lang w:val="en-US"/>
        </w:rPr>
        <w:t xml:space="preserve"> </w:t>
      </w:r>
      <w:proofErr w:type="spellStart"/>
      <w:r w:rsidRPr="00776D23">
        <w:rPr>
          <w:rFonts w:cs="Times New Roman"/>
          <w:szCs w:val="24"/>
          <w:lang w:val="en-US"/>
        </w:rPr>
        <w:t>jenis</w:t>
      </w:r>
      <w:proofErr w:type="spellEnd"/>
      <w:r w:rsidRPr="00776D23">
        <w:rPr>
          <w:rFonts w:cs="Times New Roman"/>
          <w:szCs w:val="24"/>
          <w:lang w:val="en-US"/>
        </w:rPr>
        <w:t xml:space="preserve"> </w:t>
      </w:r>
      <w:proofErr w:type="spellStart"/>
      <w:r w:rsidRPr="00776D23">
        <w:rPr>
          <w:rFonts w:cs="Times New Roman"/>
          <w:szCs w:val="24"/>
          <w:lang w:val="en-US"/>
        </w:rPr>
        <w:t>kelamin</w:t>
      </w:r>
      <w:proofErr w:type="spellEnd"/>
      <w:r w:rsidRPr="00776D23">
        <w:rPr>
          <w:rFonts w:cs="Times New Roman"/>
          <w:szCs w:val="24"/>
          <w:lang w:val="en-US"/>
        </w:rPr>
        <w:t xml:space="preserve">, </w:t>
      </w:r>
      <w:proofErr w:type="spellStart"/>
      <w:r w:rsidRPr="00776D23">
        <w:rPr>
          <w:rFonts w:cs="Times New Roman"/>
          <w:szCs w:val="24"/>
          <w:lang w:val="en-US"/>
        </w:rPr>
        <w:t>laki-laki</w:t>
      </w:r>
      <w:proofErr w:type="spellEnd"/>
      <w:r w:rsidRPr="00776D23">
        <w:rPr>
          <w:rFonts w:cs="Times New Roman"/>
          <w:szCs w:val="24"/>
          <w:lang w:val="en-US"/>
        </w:rPr>
        <w:t xml:space="preserve"> </w:t>
      </w:r>
      <w:proofErr w:type="spellStart"/>
      <w:r w:rsidRPr="00776D23">
        <w:rPr>
          <w:rFonts w:cs="Times New Roman"/>
          <w:szCs w:val="24"/>
          <w:lang w:val="en-US"/>
        </w:rPr>
        <w:t>lebih</w:t>
      </w:r>
      <w:proofErr w:type="spellEnd"/>
      <w:r w:rsidRPr="00776D23">
        <w:rPr>
          <w:rFonts w:cs="Times New Roman"/>
          <w:szCs w:val="24"/>
          <w:lang w:val="en-US"/>
        </w:rPr>
        <w:t xml:space="preserve"> </w:t>
      </w:r>
      <w:proofErr w:type="spellStart"/>
      <w:r w:rsidRPr="00776D23">
        <w:rPr>
          <w:rFonts w:cs="Times New Roman"/>
          <w:szCs w:val="24"/>
          <w:lang w:val="en-US"/>
        </w:rPr>
        <w:t>sering</w:t>
      </w:r>
      <w:proofErr w:type="spellEnd"/>
      <w:r w:rsidRPr="00776D23">
        <w:rPr>
          <w:rFonts w:cs="Times New Roman"/>
          <w:szCs w:val="24"/>
          <w:lang w:val="en-US"/>
        </w:rPr>
        <w:t xml:space="preserve"> </w:t>
      </w:r>
      <w:proofErr w:type="spellStart"/>
      <w:r w:rsidRPr="00776D23">
        <w:rPr>
          <w:rFonts w:cs="Times New Roman"/>
          <w:szCs w:val="24"/>
          <w:lang w:val="en-US"/>
        </w:rPr>
        <w:t>mendapat</w:t>
      </w:r>
      <w:proofErr w:type="spellEnd"/>
      <w:r w:rsidRPr="00776D23">
        <w:rPr>
          <w:rFonts w:cs="Times New Roman"/>
          <w:szCs w:val="24"/>
          <w:lang w:val="en-US"/>
        </w:rPr>
        <w:t xml:space="preserve"> </w:t>
      </w:r>
      <w:proofErr w:type="spellStart"/>
      <w:r w:rsidRPr="00776D23">
        <w:rPr>
          <w:rFonts w:cs="Times New Roman"/>
          <w:szCs w:val="24"/>
          <w:lang w:val="en-US"/>
        </w:rPr>
        <w:t>terapi</w:t>
      </w:r>
      <w:proofErr w:type="spellEnd"/>
      <w:r w:rsidRPr="00776D23">
        <w:rPr>
          <w:rFonts w:cs="Times New Roman"/>
          <w:szCs w:val="24"/>
          <w:lang w:val="en-US"/>
        </w:rPr>
        <w:t xml:space="preserve"> </w:t>
      </w:r>
      <w:proofErr w:type="spellStart"/>
      <w:r w:rsidRPr="00776D23">
        <w:rPr>
          <w:rFonts w:cs="Times New Roman"/>
          <w:szCs w:val="24"/>
          <w:lang w:val="en-US"/>
        </w:rPr>
        <w:t>antibiotik</w:t>
      </w:r>
      <w:proofErr w:type="spellEnd"/>
      <w:r w:rsidRPr="00776D23">
        <w:rPr>
          <w:rFonts w:cs="Times New Roman"/>
          <w:szCs w:val="24"/>
          <w:lang w:val="en-US"/>
        </w:rPr>
        <w:t xml:space="preserve"> </w:t>
      </w:r>
      <w:proofErr w:type="spellStart"/>
      <w:r w:rsidRPr="00776D23">
        <w:rPr>
          <w:rFonts w:cs="Times New Roman"/>
          <w:szCs w:val="24"/>
          <w:lang w:val="en-US"/>
        </w:rPr>
        <w:t>sebesar</w:t>
      </w:r>
      <w:proofErr w:type="spellEnd"/>
      <w:r w:rsidRPr="00776D23">
        <w:rPr>
          <w:rFonts w:cs="Times New Roman"/>
          <w:szCs w:val="24"/>
          <w:lang w:val="en-US"/>
        </w:rPr>
        <w:t xml:space="preserve"> </w:t>
      </w:r>
      <w:r>
        <w:rPr>
          <w:rFonts w:eastAsia="Times New Roman" w:cs="Times New Roman"/>
          <w:color w:val="000000"/>
          <w:szCs w:val="24"/>
          <w:lang w:val="en-US"/>
        </w:rPr>
        <w:t>56</w:t>
      </w:r>
      <w:proofErr w:type="gramStart"/>
      <w:r>
        <w:rPr>
          <w:rFonts w:eastAsia="Times New Roman" w:cs="Times New Roman"/>
          <w:color w:val="000000"/>
          <w:szCs w:val="24"/>
          <w:lang w:val="en-US"/>
        </w:rPr>
        <w:t>,67</w:t>
      </w:r>
      <w:proofErr w:type="gramEnd"/>
      <w:r>
        <w:rPr>
          <w:rFonts w:eastAsia="Times New Roman" w:cs="Times New Roman"/>
          <w:color w:val="000000"/>
          <w:szCs w:val="24"/>
          <w:lang w:val="en-US"/>
        </w:rPr>
        <w:t xml:space="preserve">%. </w:t>
      </w:r>
      <w:r w:rsidRPr="00776D23">
        <w:rPr>
          <w:rFonts w:eastAsia="Times New Roman" w:cs="Times New Roman"/>
          <w:color w:val="000000"/>
          <w:szCs w:val="24"/>
          <w:lang w:val="en-US"/>
        </w:rPr>
        <w:t xml:space="preserve">Dari </w:t>
      </w:r>
      <w:proofErr w:type="spellStart"/>
      <w:r w:rsidRPr="00776D23">
        <w:rPr>
          <w:rFonts w:eastAsia="Times New Roman" w:cs="Times New Roman"/>
          <w:color w:val="000000"/>
          <w:szCs w:val="24"/>
          <w:lang w:val="en-US"/>
        </w:rPr>
        <w:t>segi</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usia</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usia</w:t>
      </w:r>
      <w:proofErr w:type="spellEnd"/>
      <w:r w:rsidRPr="00776D23">
        <w:rPr>
          <w:rFonts w:eastAsia="Times New Roman" w:cs="Times New Roman"/>
          <w:color w:val="000000"/>
          <w:szCs w:val="24"/>
          <w:lang w:val="en-US"/>
        </w:rPr>
        <w:t xml:space="preserve"> 45-55 </w:t>
      </w:r>
      <w:proofErr w:type="spellStart"/>
      <w:r w:rsidRPr="00776D23">
        <w:rPr>
          <w:rFonts w:eastAsia="Times New Roman" w:cs="Times New Roman"/>
          <w:color w:val="000000"/>
          <w:szCs w:val="24"/>
          <w:lang w:val="en-US"/>
        </w:rPr>
        <w:t>tahun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merupa</w:t>
      </w:r>
      <w:r>
        <w:rPr>
          <w:rFonts w:eastAsia="Times New Roman" w:cs="Times New Roman"/>
          <w:color w:val="000000"/>
          <w:szCs w:val="24"/>
          <w:lang w:val="en-US"/>
        </w:rPr>
        <w:t>kan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penderita</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terbanyak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yaitu</w:t>
      </w:r>
      <w:proofErr w:type="spellEnd"/>
      <w:r>
        <w:rPr>
          <w:rFonts w:eastAsia="Times New Roman" w:cs="Times New Roman"/>
          <w:color w:val="000000"/>
          <w:szCs w:val="24"/>
          <w:lang w:val="en-US"/>
        </w:rPr>
        <w:t xml:space="preserve"> 63</w:t>
      </w:r>
      <w:proofErr w:type="gramStart"/>
      <w:r>
        <w:rPr>
          <w:rFonts w:eastAsia="Times New Roman" w:cs="Times New Roman"/>
          <w:color w:val="000000"/>
          <w:szCs w:val="24"/>
          <w:lang w:val="en-US"/>
        </w:rPr>
        <w:t>,33</w:t>
      </w:r>
      <w:proofErr w:type="gramEnd"/>
      <w:r w:rsidRPr="00776D23">
        <w:rPr>
          <w:rFonts w:eastAsia="Times New Roman" w:cs="Times New Roman"/>
          <w:color w:val="000000"/>
          <w:szCs w:val="24"/>
          <w:lang w:val="en-US"/>
        </w:rPr>
        <w:t xml:space="preserve">%. Dari </w:t>
      </w:r>
      <w:proofErr w:type="spellStart"/>
      <w:r w:rsidRPr="00776D23">
        <w:rPr>
          <w:rFonts w:eastAsia="Times New Roman" w:cs="Times New Roman"/>
          <w:color w:val="000000"/>
          <w:szCs w:val="24"/>
          <w:lang w:val="en-US"/>
        </w:rPr>
        <w:t>diagnosa</w:t>
      </w:r>
      <w:proofErr w:type="spellEnd"/>
      <w:r w:rsidRPr="00776D23">
        <w:rPr>
          <w:rFonts w:eastAsia="Times New Roman" w:cs="Times New Roman"/>
          <w:color w:val="000000"/>
          <w:szCs w:val="24"/>
          <w:lang w:val="en-US"/>
        </w:rPr>
        <w:t xml:space="preserve"> yang </w:t>
      </w:r>
      <w:proofErr w:type="spellStart"/>
      <w:r w:rsidRPr="00776D23">
        <w:rPr>
          <w:rFonts w:eastAsia="Times New Roman" w:cs="Times New Roman"/>
          <w:color w:val="000000"/>
          <w:szCs w:val="24"/>
          <w:lang w:val="en-US"/>
        </w:rPr>
        <w:t>mendapatkan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perawatan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antibiotik</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penyakit</w:t>
      </w:r>
      <w:proofErr w:type="spellEnd"/>
      <w:r w:rsidRPr="00776D23">
        <w:rPr>
          <w:rFonts w:eastAsia="Times New Roman" w:cs="Times New Roman"/>
          <w:color w:val="000000"/>
          <w:szCs w:val="24"/>
          <w:lang w:val="en-US"/>
        </w:rPr>
        <w:t xml:space="preserve"> </w:t>
      </w:r>
      <w:r w:rsidRPr="00776D23">
        <w:rPr>
          <w:rFonts w:cs="Times New Roman"/>
          <w:i/>
          <w:szCs w:val="24"/>
          <w:lang w:val="en-US"/>
        </w:rPr>
        <w:t>Other and unspecified abdominal</w:t>
      </w:r>
      <w:r w:rsidRPr="00776D23">
        <w:rPr>
          <w:rFonts w:cs="Times New Roman"/>
          <w:szCs w:val="24"/>
          <w:lang w:val="en-US"/>
        </w:rPr>
        <w:t xml:space="preserve"> </w:t>
      </w:r>
      <w:proofErr w:type="spellStart"/>
      <w:r w:rsidRPr="00776D23">
        <w:rPr>
          <w:rFonts w:cs="Times New Roman"/>
          <w:szCs w:val="24"/>
          <w:lang w:val="en-US"/>
        </w:rPr>
        <w:t>merupakan</w:t>
      </w:r>
      <w:proofErr w:type="spellEnd"/>
      <w:r w:rsidRPr="00776D23">
        <w:rPr>
          <w:rFonts w:cs="Times New Roman"/>
          <w:szCs w:val="24"/>
          <w:lang w:val="en-US"/>
        </w:rPr>
        <w:t xml:space="preserve"> </w:t>
      </w:r>
      <w:proofErr w:type="spellStart"/>
      <w:r w:rsidRPr="00776D23">
        <w:rPr>
          <w:rFonts w:cs="Times New Roman"/>
          <w:szCs w:val="24"/>
          <w:lang w:val="en-US"/>
        </w:rPr>
        <w:t>penyakit</w:t>
      </w:r>
      <w:proofErr w:type="spellEnd"/>
      <w:r w:rsidRPr="00776D23">
        <w:rPr>
          <w:rFonts w:cs="Times New Roman"/>
          <w:szCs w:val="24"/>
          <w:lang w:val="en-US"/>
        </w:rPr>
        <w:t xml:space="preserve"> yang </w:t>
      </w:r>
      <w:proofErr w:type="spellStart"/>
      <w:r w:rsidRPr="00776D23">
        <w:rPr>
          <w:rFonts w:cs="Times New Roman"/>
          <w:szCs w:val="24"/>
          <w:lang w:val="en-US"/>
        </w:rPr>
        <w:t>sering</w:t>
      </w:r>
      <w:proofErr w:type="spellEnd"/>
      <w:r w:rsidRPr="00776D23">
        <w:rPr>
          <w:rFonts w:cs="Times New Roman"/>
          <w:szCs w:val="24"/>
          <w:lang w:val="en-US"/>
        </w:rPr>
        <w:t xml:space="preserve"> </w:t>
      </w:r>
      <w:proofErr w:type="spellStart"/>
      <w:r w:rsidRPr="00776D23">
        <w:rPr>
          <w:rFonts w:cs="Times New Roman"/>
          <w:szCs w:val="24"/>
          <w:lang w:val="en-US"/>
        </w:rPr>
        <w:t>mendapatkan</w:t>
      </w:r>
      <w:proofErr w:type="spellEnd"/>
      <w:r w:rsidRPr="00776D23">
        <w:rPr>
          <w:rFonts w:cs="Times New Roman"/>
          <w:szCs w:val="24"/>
          <w:lang w:val="en-US"/>
        </w:rPr>
        <w:t xml:space="preserve"> </w:t>
      </w:r>
      <w:proofErr w:type="spellStart"/>
      <w:r w:rsidRPr="00776D23">
        <w:rPr>
          <w:rFonts w:cs="Times New Roman"/>
          <w:szCs w:val="24"/>
          <w:lang w:val="en-US"/>
        </w:rPr>
        <w:t>anti</w:t>
      </w:r>
      <w:r>
        <w:rPr>
          <w:rFonts w:cs="Times New Roman"/>
          <w:szCs w:val="24"/>
          <w:lang w:val="en-US"/>
        </w:rPr>
        <w:t>biotik</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berjumlah</w:t>
      </w:r>
      <w:proofErr w:type="spellEnd"/>
      <w:r>
        <w:rPr>
          <w:rFonts w:cs="Times New Roman"/>
          <w:szCs w:val="24"/>
          <w:lang w:val="en-US"/>
        </w:rPr>
        <w:t xml:space="preserve"> 16</w:t>
      </w:r>
      <w:proofErr w:type="gramStart"/>
      <w:r>
        <w:rPr>
          <w:rFonts w:cs="Times New Roman"/>
          <w:szCs w:val="24"/>
          <w:lang w:val="en-US"/>
        </w:rPr>
        <w:t>,67</w:t>
      </w:r>
      <w:proofErr w:type="gramEnd"/>
      <w:r w:rsidRPr="00776D23">
        <w:rPr>
          <w:rFonts w:cs="Times New Roman"/>
          <w:szCs w:val="24"/>
          <w:lang w:val="en-US"/>
        </w:rPr>
        <w:t xml:space="preserve">%. </w:t>
      </w:r>
      <w:proofErr w:type="spellStart"/>
      <w:r w:rsidRPr="00776D23">
        <w:rPr>
          <w:rFonts w:cs="Times New Roman"/>
          <w:szCs w:val="24"/>
          <w:lang w:val="en-US"/>
        </w:rPr>
        <w:t>Untuk</w:t>
      </w:r>
      <w:proofErr w:type="spellEnd"/>
      <w:r w:rsidRPr="00776D23">
        <w:rPr>
          <w:rFonts w:cs="Times New Roman"/>
          <w:szCs w:val="24"/>
          <w:lang w:val="en-US"/>
        </w:rPr>
        <w:t xml:space="preserve"> </w:t>
      </w:r>
      <w:proofErr w:type="spellStart"/>
      <w:r w:rsidRPr="00776D23">
        <w:rPr>
          <w:rFonts w:cs="Times New Roman"/>
          <w:szCs w:val="24"/>
          <w:lang w:val="en-US"/>
        </w:rPr>
        <w:t>antibiotik</w:t>
      </w:r>
      <w:proofErr w:type="spellEnd"/>
      <w:r w:rsidRPr="00776D23">
        <w:rPr>
          <w:rFonts w:cs="Times New Roman"/>
          <w:szCs w:val="24"/>
          <w:lang w:val="en-US"/>
        </w:rPr>
        <w:t xml:space="preserve"> yang paling </w:t>
      </w:r>
      <w:proofErr w:type="spellStart"/>
      <w:r w:rsidRPr="00776D23">
        <w:rPr>
          <w:rFonts w:cs="Times New Roman"/>
          <w:szCs w:val="24"/>
          <w:lang w:val="en-US"/>
        </w:rPr>
        <w:t>sering</w:t>
      </w:r>
      <w:proofErr w:type="spellEnd"/>
      <w:r w:rsidRPr="00776D23">
        <w:rPr>
          <w:rFonts w:cs="Times New Roman"/>
          <w:szCs w:val="24"/>
          <w:lang w:val="en-US"/>
        </w:rPr>
        <w:t xml:space="preserve"> </w:t>
      </w:r>
      <w:proofErr w:type="spellStart"/>
      <w:r w:rsidRPr="00776D23">
        <w:rPr>
          <w:rFonts w:cs="Times New Roman"/>
          <w:szCs w:val="24"/>
          <w:lang w:val="en-US"/>
        </w:rPr>
        <w:t>digunakan</w:t>
      </w:r>
      <w:proofErr w:type="spellEnd"/>
      <w:r w:rsidRPr="00776D23">
        <w:rPr>
          <w:rFonts w:cs="Times New Roman"/>
          <w:szCs w:val="24"/>
          <w:lang w:val="en-US"/>
        </w:rPr>
        <w:t xml:space="preserve"> </w:t>
      </w:r>
      <w:proofErr w:type="spellStart"/>
      <w:r w:rsidRPr="00776D23">
        <w:rPr>
          <w:rFonts w:cs="Times New Roman"/>
          <w:szCs w:val="24"/>
          <w:lang w:val="en-US"/>
        </w:rPr>
        <w:t>adalah</w:t>
      </w:r>
      <w:proofErr w:type="spellEnd"/>
      <w:r w:rsidRPr="00776D23">
        <w:rPr>
          <w:rFonts w:cs="Times New Roman"/>
          <w:szCs w:val="24"/>
          <w:lang w:val="en-US"/>
        </w:rPr>
        <w:t xml:space="preserve"> </w:t>
      </w:r>
      <w:proofErr w:type="spellStart"/>
      <w:r w:rsidRPr="00776D23">
        <w:rPr>
          <w:rFonts w:cs="Times New Roman"/>
          <w:szCs w:val="24"/>
          <w:lang w:val="en-US"/>
        </w:rPr>
        <w:t>ce</w:t>
      </w:r>
      <w:r>
        <w:rPr>
          <w:rFonts w:cs="Times New Roman"/>
          <w:szCs w:val="24"/>
          <w:lang w:val="en-US"/>
        </w:rPr>
        <w:t>fixime</w:t>
      </w:r>
      <w:proofErr w:type="spellEnd"/>
      <w:r>
        <w:rPr>
          <w:rFonts w:cs="Times New Roman"/>
          <w:szCs w:val="24"/>
          <w:lang w:val="en-US"/>
        </w:rPr>
        <w:t xml:space="preserve"> 100 mg </w:t>
      </w:r>
      <w:proofErr w:type="spellStart"/>
      <w:r>
        <w:rPr>
          <w:rFonts w:cs="Times New Roman"/>
          <w:szCs w:val="24"/>
          <w:lang w:val="en-US"/>
        </w:rPr>
        <w:t>dengan</w:t>
      </w:r>
      <w:proofErr w:type="spellEnd"/>
      <w:r>
        <w:rPr>
          <w:rFonts w:cs="Times New Roman"/>
          <w:szCs w:val="24"/>
          <w:lang w:val="en-US"/>
        </w:rPr>
        <w:t xml:space="preserve"> total 26</w:t>
      </w:r>
      <w:proofErr w:type="gramStart"/>
      <w:r>
        <w:rPr>
          <w:rFonts w:cs="Times New Roman"/>
          <w:szCs w:val="24"/>
          <w:lang w:val="en-US"/>
        </w:rPr>
        <w:t>,67</w:t>
      </w:r>
      <w:proofErr w:type="gramEnd"/>
      <w:r w:rsidRPr="00776D23">
        <w:rPr>
          <w:rFonts w:cs="Times New Roman"/>
          <w:szCs w:val="24"/>
          <w:lang w:val="en-US"/>
        </w:rPr>
        <w:t xml:space="preserve">%. </w:t>
      </w:r>
      <w:proofErr w:type="spellStart"/>
      <w:r w:rsidRPr="00776D23">
        <w:rPr>
          <w:rFonts w:cs="Times New Roman"/>
          <w:szCs w:val="24"/>
          <w:lang w:val="en-US"/>
        </w:rPr>
        <w:t>Dalam</w:t>
      </w:r>
      <w:proofErr w:type="spellEnd"/>
      <w:r w:rsidRPr="00776D23">
        <w:rPr>
          <w:rFonts w:cs="Times New Roman"/>
          <w:szCs w:val="24"/>
          <w:lang w:val="en-US"/>
        </w:rPr>
        <w:t xml:space="preserve"> </w:t>
      </w:r>
      <w:proofErr w:type="spellStart"/>
      <w:r w:rsidRPr="00776D23">
        <w:rPr>
          <w:rFonts w:cs="Times New Roman"/>
          <w:szCs w:val="24"/>
          <w:lang w:val="en-US"/>
        </w:rPr>
        <w:t>evaluasi</w:t>
      </w:r>
      <w:proofErr w:type="spellEnd"/>
      <w:r w:rsidRPr="00776D23">
        <w:rPr>
          <w:rFonts w:cs="Times New Roman"/>
          <w:szCs w:val="24"/>
          <w:lang w:val="en-US"/>
        </w:rPr>
        <w:t xml:space="preserve"> </w:t>
      </w:r>
      <w:proofErr w:type="spellStart"/>
      <w:r w:rsidRPr="00776D23">
        <w:rPr>
          <w:rFonts w:cs="Times New Roman"/>
          <w:szCs w:val="24"/>
          <w:lang w:val="en-US"/>
        </w:rPr>
        <w:t>ketepatan</w:t>
      </w:r>
      <w:proofErr w:type="spellEnd"/>
      <w:r w:rsidRPr="00776D23">
        <w:rPr>
          <w:rFonts w:cs="Times New Roman"/>
          <w:szCs w:val="24"/>
          <w:lang w:val="en-US"/>
        </w:rPr>
        <w:t xml:space="preserve"> </w:t>
      </w:r>
      <w:proofErr w:type="spellStart"/>
      <w:r w:rsidRPr="00776D23">
        <w:rPr>
          <w:rFonts w:cs="Times New Roman"/>
          <w:szCs w:val="24"/>
          <w:lang w:val="en-US"/>
        </w:rPr>
        <w:t>antibiotik</w:t>
      </w:r>
      <w:proofErr w:type="spellEnd"/>
      <w:r w:rsidRPr="00776D23">
        <w:rPr>
          <w:rFonts w:cs="Times New Roman"/>
          <w:szCs w:val="24"/>
          <w:lang w:val="en-US"/>
        </w:rPr>
        <w:t xml:space="preserve">, </w:t>
      </w:r>
      <w:proofErr w:type="spellStart"/>
      <w:r w:rsidRPr="00776D23">
        <w:rPr>
          <w:rFonts w:cs="Times New Roman"/>
          <w:szCs w:val="24"/>
          <w:lang w:val="en-US"/>
        </w:rPr>
        <w:t>pasien</w:t>
      </w:r>
      <w:proofErr w:type="spellEnd"/>
      <w:r w:rsidRPr="00776D23">
        <w:rPr>
          <w:rFonts w:cs="Times New Roman"/>
          <w:szCs w:val="24"/>
          <w:lang w:val="en-US"/>
        </w:rPr>
        <w:t xml:space="preserve"> yang </w:t>
      </w:r>
      <w:proofErr w:type="spellStart"/>
      <w:r w:rsidRPr="00776D23">
        <w:rPr>
          <w:rFonts w:cs="Times New Roman"/>
          <w:szCs w:val="24"/>
          <w:lang w:val="en-US"/>
        </w:rPr>
        <w:t>mendapatkan</w:t>
      </w:r>
      <w:proofErr w:type="spellEnd"/>
      <w:r w:rsidRPr="00776D23">
        <w:rPr>
          <w:rFonts w:cs="Times New Roman"/>
          <w:szCs w:val="24"/>
          <w:lang w:val="en-US"/>
        </w:rPr>
        <w:t xml:space="preserve"> </w:t>
      </w:r>
      <w:proofErr w:type="spellStart"/>
      <w:r w:rsidRPr="00776D23">
        <w:rPr>
          <w:rFonts w:cs="Times New Roman"/>
          <w:szCs w:val="24"/>
          <w:lang w:val="en-US"/>
        </w:rPr>
        <w:t>terapi</w:t>
      </w:r>
      <w:proofErr w:type="spellEnd"/>
      <w:r w:rsidRPr="00776D23">
        <w:rPr>
          <w:rFonts w:cs="Times New Roman"/>
          <w:szCs w:val="24"/>
          <w:lang w:val="en-US"/>
        </w:rPr>
        <w:t xml:space="preserve"> </w:t>
      </w:r>
      <w:proofErr w:type="spellStart"/>
      <w:r w:rsidRPr="00776D23">
        <w:rPr>
          <w:rFonts w:cs="Times New Roman"/>
          <w:szCs w:val="24"/>
          <w:lang w:val="en-US"/>
        </w:rPr>
        <w:t>antibiotik</w:t>
      </w:r>
      <w:proofErr w:type="spellEnd"/>
      <w:r w:rsidRPr="00776D23">
        <w:rPr>
          <w:rFonts w:cs="Times New Roman"/>
          <w:szCs w:val="24"/>
          <w:lang w:val="en-US"/>
        </w:rPr>
        <w:t xml:space="preserve"> yang </w:t>
      </w:r>
      <w:proofErr w:type="spellStart"/>
      <w:r w:rsidRPr="00776D23">
        <w:rPr>
          <w:rFonts w:cs="Times New Roman"/>
          <w:szCs w:val="24"/>
          <w:lang w:val="en-US"/>
        </w:rPr>
        <w:t>tepat</w:t>
      </w:r>
      <w:proofErr w:type="spellEnd"/>
      <w:r w:rsidRPr="00776D23">
        <w:rPr>
          <w:rFonts w:cs="Times New Roman"/>
          <w:szCs w:val="24"/>
          <w:lang w:val="en-US"/>
        </w:rPr>
        <w:t xml:space="preserve"> </w:t>
      </w:r>
      <w:proofErr w:type="spellStart"/>
      <w:r w:rsidRPr="00776D23">
        <w:rPr>
          <w:rFonts w:cs="Times New Roman"/>
          <w:szCs w:val="24"/>
          <w:lang w:val="en-US"/>
        </w:rPr>
        <w:t>berjumlah</w:t>
      </w:r>
      <w:proofErr w:type="spellEnd"/>
      <w:r w:rsidRPr="00776D23">
        <w:rPr>
          <w:rFonts w:cs="Times New Roman"/>
          <w:szCs w:val="24"/>
          <w:lang w:val="en-US"/>
        </w:rPr>
        <w:t xml:space="preserve"> </w:t>
      </w:r>
      <w:r>
        <w:rPr>
          <w:rFonts w:eastAsia="Times New Roman" w:cs="Times New Roman"/>
          <w:color w:val="000000"/>
          <w:szCs w:val="24"/>
          <w:lang w:val="en-US"/>
        </w:rPr>
        <w:t xml:space="preserve">73,33%, </w:t>
      </w:r>
      <w:proofErr w:type="spellStart"/>
      <w:r>
        <w:rPr>
          <w:rFonts w:eastAsia="Times New Roman" w:cs="Times New Roman"/>
          <w:color w:val="000000"/>
          <w:szCs w:val="24"/>
          <w:lang w:val="en-US"/>
        </w:rPr>
        <w:t>untuk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tepat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Indikasi</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berjuml</w:t>
      </w:r>
      <w:r>
        <w:rPr>
          <w:rFonts w:eastAsia="Times New Roman" w:cs="Times New Roman"/>
          <w:color w:val="000000"/>
          <w:szCs w:val="24"/>
          <w:lang w:val="en-US"/>
        </w:rPr>
        <w:t>ah</w:t>
      </w:r>
      <w:proofErr w:type="spellEnd"/>
      <w:r>
        <w:rPr>
          <w:rFonts w:eastAsia="Times New Roman" w:cs="Times New Roman"/>
          <w:color w:val="000000"/>
          <w:szCs w:val="24"/>
          <w:lang w:val="en-US"/>
        </w:rPr>
        <w:t xml:space="preserve"> 76,67%, </w:t>
      </w:r>
      <w:proofErr w:type="spellStart"/>
      <w:r>
        <w:rPr>
          <w:rFonts w:eastAsia="Times New Roman" w:cs="Times New Roman"/>
          <w:color w:val="000000"/>
          <w:szCs w:val="24"/>
          <w:lang w:val="en-US"/>
        </w:rPr>
        <w:t>tepat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dosis</w:t>
      </w:r>
      <w:proofErr w:type="spellEnd"/>
      <w:r>
        <w:rPr>
          <w:rFonts w:eastAsia="Times New Roman" w:cs="Times New Roman"/>
          <w:color w:val="000000"/>
          <w:szCs w:val="24"/>
          <w:lang w:val="en-US"/>
        </w:rPr>
        <w:t xml:space="preserve"> </w:t>
      </w:r>
      <w:r w:rsidRPr="00776D23">
        <w:rPr>
          <w:rFonts w:eastAsia="Times New Roman" w:cs="Times New Roman"/>
          <w:color w:val="000000"/>
          <w:szCs w:val="24"/>
          <w:lang w:val="en-US"/>
        </w:rPr>
        <w:t>7</w:t>
      </w:r>
      <w:r>
        <w:rPr>
          <w:rFonts w:eastAsia="Times New Roman" w:cs="Times New Roman"/>
          <w:color w:val="000000"/>
          <w:szCs w:val="24"/>
          <w:lang w:val="en-US"/>
        </w:rPr>
        <w:t>3,33</w:t>
      </w:r>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dan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tepat</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pasien</w:t>
      </w:r>
      <w:proofErr w:type="spellEnd"/>
      <w:r w:rsidRPr="00776D23">
        <w:rPr>
          <w:rFonts w:eastAsia="Times New Roman" w:cs="Times New Roman"/>
          <w:color w:val="000000"/>
          <w:szCs w:val="24"/>
          <w:lang w:val="en-US"/>
        </w:rPr>
        <w:t xml:space="preserve"> 100,00%.</w:t>
      </w:r>
      <w:r>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Ketepatan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pem</w:t>
      </w:r>
      <w:r>
        <w:rPr>
          <w:rFonts w:eastAsia="Times New Roman" w:cs="Times New Roman"/>
          <w:color w:val="000000"/>
          <w:szCs w:val="24"/>
          <w:lang w:val="en-US"/>
        </w:rPr>
        <w:t>berian</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antibiotik</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sebanyak</w:t>
      </w:r>
      <w:proofErr w:type="spellEnd"/>
      <w:r>
        <w:rPr>
          <w:rFonts w:eastAsia="Times New Roman" w:cs="Times New Roman"/>
          <w:color w:val="000000"/>
          <w:szCs w:val="24"/>
          <w:lang w:val="en-US"/>
        </w:rPr>
        <w:t xml:space="preserve"> 73,33</w:t>
      </w:r>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mendap</w:t>
      </w:r>
      <w:r>
        <w:rPr>
          <w:rFonts w:eastAsia="Times New Roman" w:cs="Times New Roman"/>
          <w:color w:val="000000"/>
          <w:szCs w:val="24"/>
          <w:lang w:val="en-US"/>
        </w:rPr>
        <w:t>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terapi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antibiotik</w:t>
      </w:r>
      <w:proofErr w:type="spellEnd"/>
      <w:r>
        <w:rPr>
          <w:rFonts w:eastAsia="Times New Roman" w:cs="Times New Roman"/>
          <w:color w:val="000000"/>
          <w:szCs w:val="24"/>
          <w:lang w:val="en-US"/>
        </w:rPr>
        <w:t xml:space="preserve"> yang </w:t>
      </w:r>
      <w:proofErr w:type="spellStart"/>
      <w:r>
        <w:rPr>
          <w:rFonts w:eastAsia="Times New Roman" w:cs="Times New Roman"/>
          <w:color w:val="000000"/>
          <w:szCs w:val="24"/>
          <w:lang w:val="en-US"/>
        </w:rPr>
        <w:t>tepat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dari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kategori</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tepat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indikasi</w:t>
      </w:r>
      <w:proofErr w:type="spellEnd"/>
      <w:r>
        <w:rPr>
          <w:rFonts w:eastAsia="Times New Roman" w:cs="Times New Roman"/>
          <w:color w:val="000000"/>
          <w:szCs w:val="24"/>
          <w:lang w:val="en-US"/>
        </w:rPr>
        <w:t xml:space="preserve"> 76,67%, </w:t>
      </w:r>
      <w:proofErr w:type="spellStart"/>
      <w:r>
        <w:rPr>
          <w:rFonts w:eastAsia="Times New Roman" w:cs="Times New Roman"/>
          <w:color w:val="000000"/>
          <w:szCs w:val="24"/>
          <w:lang w:val="en-US"/>
        </w:rPr>
        <w:t>tepat</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dosis</w:t>
      </w:r>
      <w:proofErr w:type="spellEnd"/>
      <w:r>
        <w:rPr>
          <w:rFonts w:eastAsia="Times New Roman" w:cs="Times New Roman"/>
          <w:color w:val="000000"/>
          <w:szCs w:val="24"/>
          <w:lang w:val="en-US"/>
        </w:rPr>
        <w:t xml:space="preserve"> 73,33</w:t>
      </w:r>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dan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tepat</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pasien</w:t>
      </w:r>
      <w:proofErr w:type="spellEnd"/>
      <w:r w:rsidRPr="00776D23">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sebesar</w:t>
      </w:r>
      <w:proofErr w:type="spellEnd"/>
      <w:r w:rsidRPr="00776D23">
        <w:rPr>
          <w:rFonts w:eastAsia="Times New Roman" w:cs="Times New Roman"/>
          <w:color w:val="000000"/>
          <w:szCs w:val="24"/>
          <w:lang w:val="en-US"/>
        </w:rPr>
        <w:t xml:space="preserve"> 100,00%</w:t>
      </w:r>
      <w:r>
        <w:rPr>
          <w:rFonts w:eastAsia="Times New Roman" w:cs="Times New Roman"/>
          <w:color w:val="000000"/>
          <w:szCs w:val="24"/>
          <w:lang w:val="en-US"/>
        </w:rPr>
        <w:t>.</w:t>
      </w:r>
      <w:r>
        <w:rPr>
          <w:rFonts w:eastAsia="Times New Roman" w:cs="Times New Roman"/>
          <w:color w:val="000000"/>
          <w:szCs w:val="24"/>
          <w:lang w:val="en-US"/>
        </w:rPr>
        <w:br/>
      </w:r>
      <w:r w:rsidRPr="0014152E">
        <w:rPr>
          <w:rFonts w:eastAsia="Times New Roman" w:cs="Times New Roman"/>
          <w:b/>
          <w:color w:val="000000"/>
          <w:szCs w:val="24"/>
          <w:lang w:val="en-US"/>
        </w:rPr>
        <w:t xml:space="preserve">Kata </w:t>
      </w:r>
      <w:proofErr w:type="spellStart"/>
      <w:proofErr w:type="gramStart"/>
      <w:r w:rsidRPr="0014152E">
        <w:rPr>
          <w:rFonts w:eastAsia="Times New Roman" w:cs="Times New Roman"/>
          <w:b/>
          <w:color w:val="000000"/>
          <w:szCs w:val="24"/>
          <w:lang w:val="en-US"/>
        </w:rPr>
        <w:t>Kunci</w:t>
      </w:r>
      <w:proofErr w:type="spellEnd"/>
      <w:r>
        <w:rPr>
          <w:rFonts w:eastAsia="Times New Roman" w:cs="Times New Roman"/>
          <w:color w:val="000000"/>
          <w:szCs w:val="24"/>
          <w:lang w:val="en-US"/>
        </w:rPr>
        <w:t xml:space="preserve"> :</w:t>
      </w:r>
      <w:proofErr w:type="gramEnd"/>
      <w:r>
        <w:rPr>
          <w:rFonts w:eastAsia="Times New Roman" w:cs="Times New Roman"/>
          <w:color w:val="000000"/>
          <w:szCs w:val="24"/>
          <w:lang w:val="en-US"/>
        </w:rPr>
        <w:t xml:space="preserve"> </w:t>
      </w:r>
      <w:proofErr w:type="spellStart"/>
      <w:r w:rsidRPr="00776D23">
        <w:rPr>
          <w:rFonts w:eastAsia="Times New Roman" w:cs="Times New Roman"/>
          <w:color w:val="000000"/>
          <w:szCs w:val="24"/>
          <w:lang w:val="en-US"/>
        </w:rPr>
        <w:t>Antibiotik</w:t>
      </w:r>
      <w:proofErr w:type="spellEnd"/>
      <w:r w:rsidRPr="00776D23">
        <w:rPr>
          <w:rFonts w:eastAsia="Times New Roman" w:cs="Times New Roman"/>
          <w:color w:val="000000"/>
          <w:szCs w:val="24"/>
          <w:lang w:val="en-US"/>
        </w:rPr>
        <w:t xml:space="preserve">, </w:t>
      </w:r>
      <w:proofErr w:type="spellStart"/>
      <w:r>
        <w:rPr>
          <w:rFonts w:eastAsia="Times New Roman" w:cs="Times New Roman"/>
          <w:color w:val="000000"/>
          <w:szCs w:val="24"/>
          <w:lang w:val="en-US"/>
        </w:rPr>
        <w:t>Resep</w:t>
      </w:r>
      <w:proofErr w:type="spellEnd"/>
      <w:r>
        <w:rPr>
          <w:rFonts w:eastAsia="Times New Roman" w:cs="Times New Roman"/>
          <w:color w:val="000000"/>
          <w:szCs w:val="24"/>
          <w:lang w:val="en-US"/>
        </w:rPr>
        <w:t xml:space="preserve">, </w:t>
      </w:r>
      <w:proofErr w:type="spellStart"/>
      <w:r>
        <w:rPr>
          <w:rFonts w:eastAsia="Times New Roman" w:cs="Times New Roman"/>
          <w:color w:val="000000"/>
          <w:szCs w:val="24"/>
          <w:lang w:val="en-US"/>
        </w:rPr>
        <w:t>Ketepatan</w:t>
      </w:r>
      <w:proofErr w:type="spellEnd"/>
    </w:p>
    <w:p w:rsidR="0014152E" w:rsidRDefault="0014152E" w:rsidP="0014152E">
      <w:pPr>
        <w:jc w:val="center"/>
        <w:rPr>
          <w:rFonts w:eastAsia="Times New Roman" w:cs="Times New Roman"/>
          <w:color w:val="000000"/>
          <w:szCs w:val="24"/>
          <w:lang w:val="en-US"/>
        </w:rPr>
      </w:pPr>
      <w:r>
        <w:rPr>
          <w:rFonts w:eastAsia="Times New Roman" w:cs="Times New Roman"/>
          <w:color w:val="000000"/>
          <w:szCs w:val="24"/>
          <w:lang w:val="en-US"/>
        </w:rPr>
        <w:t>ABSTRACT</w:t>
      </w:r>
    </w:p>
    <w:p w:rsidR="0014152E" w:rsidRDefault="0014152E" w:rsidP="0014152E">
      <w:pPr>
        <w:spacing w:before="6" w:after="0" w:line="240" w:lineRule="auto"/>
        <w:ind w:left="2" w:right="4" w:firstLine="4"/>
        <w:rPr>
          <w:rFonts w:cs="Times New Roman"/>
          <w:color w:val="000000"/>
          <w:lang w:val="en-US"/>
        </w:rPr>
      </w:pPr>
      <w:r w:rsidRPr="00F3379C">
        <w:rPr>
          <w:rFonts w:cs="Times New Roman"/>
          <w:color w:val="000000"/>
        </w:rPr>
        <w:t>Antibiotics are natural or artificial compounds used to treat diseases caused by bacteria. The accura</w:t>
      </w:r>
      <w:r>
        <w:rPr>
          <w:rFonts w:cs="Times New Roman"/>
          <w:color w:val="000000"/>
        </w:rPr>
        <w:t xml:space="preserve">cy of antibiotic </w:t>
      </w:r>
      <w:r>
        <w:rPr>
          <w:rFonts w:cs="Times New Roman"/>
          <w:color w:val="000000"/>
          <w:lang w:val="en-US"/>
        </w:rPr>
        <w:t xml:space="preserve">prescribing </w:t>
      </w:r>
      <w:r w:rsidRPr="00F3379C">
        <w:rPr>
          <w:rFonts w:cs="Times New Roman"/>
          <w:color w:val="000000"/>
        </w:rPr>
        <w:t>is the key in accelerating the patient's recovery without causing unwanted side effects. This study aims to evaluate the administration of antibiotics using indicators in the form of the right indication, the rig</w:t>
      </w:r>
      <w:r>
        <w:rPr>
          <w:rFonts w:cs="Times New Roman"/>
          <w:color w:val="000000"/>
        </w:rPr>
        <w:t xml:space="preserve">ht dose and the right patient. </w:t>
      </w:r>
      <w:r>
        <w:rPr>
          <w:rFonts w:cs="Times New Roman"/>
          <w:color w:val="000000"/>
          <w:lang w:val="en-US"/>
        </w:rPr>
        <w:t>E</w:t>
      </w:r>
      <w:r w:rsidRPr="00F3379C">
        <w:rPr>
          <w:rFonts w:cs="Times New Roman"/>
          <w:color w:val="000000"/>
        </w:rPr>
        <w:t>valuation of antibiotics was carried out on patients in the emergency department of the Mataram City Hospital in April 2021.</w:t>
      </w:r>
      <w:r>
        <w:rPr>
          <w:rFonts w:cs="Times New Roman"/>
          <w:color w:val="000000"/>
          <w:lang w:val="en-US"/>
        </w:rPr>
        <w:t xml:space="preserve"> </w:t>
      </w:r>
      <w:r w:rsidRPr="00F3379C">
        <w:rPr>
          <w:rFonts w:cs="Times New Roman"/>
          <w:color w:val="000000"/>
        </w:rPr>
        <w:t>this study was included in an analytical descriptive study with retrospective data collection with a sample of 60 medical records</w:t>
      </w:r>
      <w:r>
        <w:rPr>
          <w:rFonts w:cs="Times New Roman"/>
          <w:color w:val="000000"/>
          <w:lang w:val="en-US"/>
        </w:rPr>
        <w:t xml:space="preserve">. </w:t>
      </w:r>
      <w:r w:rsidRPr="00F3379C">
        <w:rPr>
          <w:color w:val="000000"/>
        </w:rPr>
        <w:t xml:space="preserve">Based on gender, men were more often treated antibiotics by 56.67%. In terms of age, 45-55 years of age are the most </w:t>
      </w:r>
      <w:r w:rsidRPr="00F3379C">
        <w:rPr>
          <w:color w:val="000000"/>
        </w:rPr>
        <w:lastRenderedPageBreak/>
        <w:t xml:space="preserve">common sufferers, namely 63.33%. From the diagnoses that received antibiotic treatment, other </w:t>
      </w:r>
      <w:r w:rsidRPr="00F3379C">
        <w:rPr>
          <w:i/>
          <w:iCs/>
          <w:color w:val="000000"/>
        </w:rPr>
        <w:t xml:space="preserve">and unspecified abdominal </w:t>
      </w:r>
      <w:r w:rsidRPr="00F3379C">
        <w:rPr>
          <w:color w:val="000000"/>
        </w:rPr>
        <w:t>diseases were the diseases that often received antibiotics, which amounted to 16.67%. The most frequently used antibiotic was cefixime 100 mg with a total of 26.67%. In the evaluation of the accuracy of antibiotics, 73.33% of patients who received the right antibiotic therapy, 76.67% for the right indication, 73.33% of the right dose and 100.00% for the right patient. </w:t>
      </w:r>
      <w:r w:rsidRPr="00F3379C">
        <w:rPr>
          <w:rFonts w:cs="Times New Roman"/>
          <w:color w:val="000000"/>
        </w:rPr>
        <w:t>The accuracy of antibiotic administration was 73.33% who received the right antibiotic therapy, from the right category of indication 76.67%, the right dose 73.33% and the right patient 100.00%</w:t>
      </w:r>
      <w:r w:rsidRPr="0014152E">
        <w:rPr>
          <w:rFonts w:cs="Times New Roman"/>
          <w:color w:val="000000"/>
        </w:rPr>
        <w:t xml:space="preserve"> </w:t>
      </w:r>
      <w:r w:rsidRPr="00F3379C">
        <w:rPr>
          <w:rFonts w:cs="Times New Roman"/>
          <w:color w:val="000000"/>
        </w:rPr>
        <w:t>The accuracy of antibiotic administration was 73.33% who received the right antibiotic therapy, from the right category of indication 76.67%, the right dose 73.33% and the right patient 100.00%</w:t>
      </w:r>
      <w:r>
        <w:rPr>
          <w:rFonts w:cs="Times New Roman"/>
          <w:color w:val="000000"/>
          <w:lang w:val="en-US"/>
        </w:rPr>
        <w:t xml:space="preserve">. </w:t>
      </w:r>
    </w:p>
    <w:p w:rsidR="0014152E" w:rsidRDefault="0014152E" w:rsidP="0014152E">
      <w:pPr>
        <w:spacing w:before="6" w:after="0" w:line="240" w:lineRule="auto"/>
        <w:ind w:left="2" w:right="4" w:firstLine="4"/>
        <w:rPr>
          <w:rFonts w:cs="Times New Roman"/>
          <w:color w:val="000000"/>
          <w:lang w:val="en-US"/>
        </w:rPr>
      </w:pPr>
      <w:proofErr w:type="gramStart"/>
      <w:r w:rsidRPr="00F3379C">
        <w:rPr>
          <w:rFonts w:eastAsia="Times New Roman" w:cs="Times New Roman"/>
          <w:b/>
          <w:bCs/>
          <w:color w:val="000000"/>
          <w:szCs w:val="24"/>
          <w:lang w:val="en-US"/>
        </w:rPr>
        <w:t>Keyword :</w:t>
      </w:r>
      <w:proofErr w:type="gramEnd"/>
      <w:r w:rsidRPr="00F3379C">
        <w:rPr>
          <w:rFonts w:eastAsia="Times New Roman" w:cs="Times New Roman"/>
          <w:b/>
          <w:bCs/>
          <w:color w:val="000000"/>
          <w:szCs w:val="24"/>
          <w:lang w:val="en-US"/>
        </w:rPr>
        <w:t xml:space="preserve"> </w:t>
      </w:r>
      <w:r w:rsidRPr="00F3379C">
        <w:rPr>
          <w:rFonts w:eastAsia="Times New Roman" w:cs="Times New Roman"/>
          <w:color w:val="000000"/>
          <w:szCs w:val="24"/>
          <w:lang w:val="en-US"/>
        </w:rPr>
        <w:t xml:space="preserve">Antibiotics, </w:t>
      </w:r>
      <w:r w:rsidRPr="00F3379C">
        <w:rPr>
          <w:rFonts w:cs="Times New Roman"/>
          <w:color w:val="000000"/>
        </w:rPr>
        <w:t>Antibiotics, Prescription, Accuracy</w:t>
      </w:r>
    </w:p>
    <w:p w:rsidR="0014152E" w:rsidRDefault="0014152E" w:rsidP="0014152E">
      <w:pPr>
        <w:spacing w:before="6" w:after="0" w:line="240" w:lineRule="auto"/>
        <w:ind w:left="2" w:right="4" w:firstLine="4"/>
        <w:rPr>
          <w:rFonts w:eastAsia="Times New Roman" w:cs="Times New Roman"/>
          <w:szCs w:val="24"/>
          <w:lang w:val="en-US"/>
        </w:rPr>
      </w:pPr>
    </w:p>
    <w:p w:rsidR="001E5501" w:rsidRDefault="001E5501" w:rsidP="0014152E">
      <w:pPr>
        <w:spacing w:before="6" w:after="0" w:line="240" w:lineRule="auto"/>
        <w:ind w:left="2" w:right="4" w:firstLine="4"/>
        <w:sectPr w:rsidR="001E5501">
          <w:pgSz w:w="12240" w:h="15840"/>
          <w:pgMar w:top="1440" w:right="1440" w:bottom="1440" w:left="1440" w:header="708" w:footer="708" w:gutter="0"/>
          <w:cols w:space="708"/>
          <w:docGrid w:linePitch="360"/>
        </w:sectPr>
      </w:pPr>
    </w:p>
    <w:p w:rsidR="001E5501" w:rsidRPr="001E5501" w:rsidRDefault="001E5501" w:rsidP="001E5501">
      <w:pPr>
        <w:spacing w:before="6" w:after="0" w:line="360" w:lineRule="auto"/>
        <w:ind w:left="2" w:right="4" w:firstLine="4"/>
        <w:rPr>
          <w:b/>
          <w:lang w:val="en-US"/>
        </w:rPr>
      </w:pPr>
      <w:r w:rsidRPr="001E5501">
        <w:rPr>
          <w:b/>
          <w:lang w:val="en-US"/>
        </w:rPr>
        <w:lastRenderedPageBreak/>
        <w:t>PENDAHULAUN</w:t>
      </w:r>
    </w:p>
    <w:p w:rsidR="0014152E" w:rsidRDefault="001E5501" w:rsidP="001E5501">
      <w:pPr>
        <w:spacing w:before="6" w:after="0" w:line="360" w:lineRule="auto"/>
        <w:ind w:left="2" w:right="4" w:firstLine="718"/>
        <w:rPr>
          <w:lang w:val="en-US"/>
        </w:rPr>
      </w:pPr>
      <w:r>
        <w:t>Penyakit infeksi termasuk ke dalam sepuluh penyakit terbanyak yang ada di Indonesia. Pemberian antibiotik masih sering dilakukan namun dengan cara yang kurang benar sehingga menimbulkan banyak persoalan, baik dalam  proses pengobatan maupun akan menimbulkan dampak buruk bagi pasien. Pemberian antibiotik pada kondisi yang bukan disebabkan oleh bakteri banyak ditemukan dalam praktik kesehatan seperti di puskesman, rumah sakit, klinik dan praktik dokter (Permenkes RI, 2011).</w:t>
      </w:r>
    </w:p>
    <w:p w:rsidR="001E5501" w:rsidRPr="00F97776" w:rsidRDefault="001E5501" w:rsidP="00F97776">
      <w:pPr>
        <w:spacing w:before="6" w:after="0" w:line="360" w:lineRule="auto"/>
        <w:ind w:left="2" w:right="4" w:firstLine="718"/>
        <w:rPr>
          <w:noProof/>
          <w:lang w:val="en-ID"/>
        </w:rPr>
      </w:pPr>
      <w:r>
        <w:t>Resistensi antibiotik merupakan salah satu contoh dalam penggunaan obat yang tidak tepat. Resistensi antibiotik</w:t>
      </w:r>
      <w:r w:rsidRPr="006129E5">
        <w:rPr>
          <w:noProof/>
          <w:lang w:val="en-ID"/>
        </w:rPr>
        <w:t xml:space="preserve"> merupakan hal penting yang mengindikasikan kegagalan dalam proses pengobatan dan peningkatan penggunaan antibiotik dalam spektrum luas</w:t>
      </w:r>
      <w:r>
        <w:rPr>
          <w:noProof/>
          <w:lang w:val="en-ID"/>
        </w:rPr>
        <w:t xml:space="preserve"> </w:t>
      </w:r>
      <w:sdt>
        <w:sdtPr>
          <w:rPr>
            <w:noProof/>
            <w:lang w:val="en-ID"/>
          </w:rPr>
          <w:id w:val="-897121222"/>
          <w:citation/>
        </w:sdtPr>
        <w:sdtEndPr/>
        <w:sdtContent>
          <w:r>
            <w:rPr>
              <w:noProof/>
              <w:lang w:val="en-ID"/>
            </w:rPr>
            <w:fldChar w:fldCharType="begin"/>
          </w:r>
          <w:r>
            <w:rPr>
              <w:noProof/>
            </w:rPr>
            <w:instrText xml:space="preserve">CITATION Mal15 \l 1033 </w:instrText>
          </w:r>
          <w:r>
            <w:rPr>
              <w:noProof/>
              <w:lang w:val="en-ID"/>
            </w:rPr>
            <w:fldChar w:fldCharType="separate"/>
          </w:r>
          <w:r>
            <w:rPr>
              <w:noProof/>
            </w:rPr>
            <w:t>(Mally, Muhtadi, &amp; Saidah, 2015)</w:t>
          </w:r>
          <w:r>
            <w:rPr>
              <w:noProof/>
              <w:lang w:val="en-ID"/>
            </w:rPr>
            <w:fldChar w:fldCharType="end"/>
          </w:r>
        </w:sdtContent>
      </w:sdt>
    </w:p>
    <w:p w:rsidR="001E5501" w:rsidRDefault="001E5501" w:rsidP="001E5501">
      <w:pPr>
        <w:spacing w:before="6" w:after="0" w:line="360" w:lineRule="auto"/>
        <w:ind w:left="2" w:right="4" w:firstLine="718"/>
        <w:rPr>
          <w:lang w:val="en-US"/>
        </w:rPr>
      </w:pPr>
      <w:proofErr w:type="spellStart"/>
      <w:proofErr w:type="gramStart"/>
      <w:r>
        <w:rPr>
          <w:lang w:val="en-US"/>
        </w:rPr>
        <w:t>Evaluasi</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merupakan</w:t>
      </w:r>
      <w:proofErr w:type="spellEnd"/>
      <w:r>
        <w:rPr>
          <w:lang w:val="en-US"/>
        </w:rPr>
        <w:t xml:space="preserve"> </w:t>
      </w:r>
      <w:r w:rsidR="00F97776">
        <w:t xml:space="preserve">salah satu </w:t>
      </w:r>
      <w:proofErr w:type="spellStart"/>
      <w:r w:rsidR="00F97776">
        <w:rPr>
          <w:lang w:val="en-US"/>
        </w:rPr>
        <w:t>tolak</w:t>
      </w:r>
      <w:proofErr w:type="spellEnd"/>
      <w:r w:rsidR="00F97776">
        <w:rPr>
          <w:lang w:val="en-US"/>
        </w:rPr>
        <w:t xml:space="preserve"> </w:t>
      </w:r>
      <w:proofErr w:type="spellStart"/>
      <w:r w:rsidR="00F97776">
        <w:rPr>
          <w:lang w:val="en-US"/>
        </w:rPr>
        <w:t>ukur</w:t>
      </w:r>
      <w:proofErr w:type="spellEnd"/>
      <w:r>
        <w:t xml:space="preserve"> </w:t>
      </w:r>
      <w:r w:rsidR="00F97776">
        <w:rPr>
          <w:lang w:val="en-US"/>
        </w:rPr>
        <w:t xml:space="preserve">yang </w:t>
      </w:r>
      <w:proofErr w:type="spellStart"/>
      <w:r w:rsidR="00F97776">
        <w:rPr>
          <w:lang w:val="en-US"/>
        </w:rPr>
        <w:lastRenderedPageBreak/>
        <w:t>digunakan</w:t>
      </w:r>
      <w:proofErr w:type="spellEnd"/>
      <w:r w:rsidR="00F97776">
        <w:rPr>
          <w:lang w:val="en-US"/>
        </w:rPr>
        <w:t xml:space="preserve"> </w:t>
      </w:r>
      <w:proofErr w:type="spellStart"/>
      <w:r w:rsidR="00F97776">
        <w:rPr>
          <w:lang w:val="en-US"/>
        </w:rPr>
        <w:t>sebagai</w:t>
      </w:r>
      <w:proofErr w:type="spellEnd"/>
      <w:r w:rsidR="00F97776">
        <w:rPr>
          <w:lang w:val="en-US"/>
        </w:rPr>
        <w:t xml:space="preserve"> </w:t>
      </w:r>
      <w:proofErr w:type="spellStart"/>
      <w:r w:rsidR="00F97776">
        <w:rPr>
          <w:lang w:val="en-US"/>
        </w:rPr>
        <w:t>penilaian</w:t>
      </w:r>
      <w:proofErr w:type="spellEnd"/>
      <w:r w:rsidR="00F97776">
        <w:rPr>
          <w:lang w:val="en-US"/>
        </w:rPr>
        <w:t xml:space="preserve"> </w:t>
      </w:r>
      <w:proofErr w:type="spellStart"/>
      <w:r w:rsidR="00F97776">
        <w:rPr>
          <w:lang w:val="en-US"/>
        </w:rPr>
        <w:t>terhadap</w:t>
      </w:r>
      <w:proofErr w:type="spellEnd"/>
      <w:r w:rsidR="00F97776">
        <w:rPr>
          <w:lang w:val="en-US"/>
        </w:rPr>
        <w:t xml:space="preserve"> </w:t>
      </w:r>
      <w:proofErr w:type="spellStart"/>
      <w:r w:rsidR="00F97776">
        <w:rPr>
          <w:lang w:val="en-US"/>
        </w:rPr>
        <w:t>ketepatan</w:t>
      </w:r>
      <w:proofErr w:type="spellEnd"/>
      <w:r w:rsidR="00F97776">
        <w:rPr>
          <w:lang w:val="en-US"/>
        </w:rPr>
        <w:t xml:space="preserve"> </w:t>
      </w:r>
      <w:proofErr w:type="spellStart"/>
      <w:r w:rsidR="00F97776">
        <w:rPr>
          <w:lang w:val="en-US"/>
        </w:rPr>
        <w:t>penggunaan</w:t>
      </w:r>
      <w:proofErr w:type="spellEnd"/>
      <w:r w:rsidR="00F97776">
        <w:rPr>
          <w:lang w:val="en-US"/>
        </w:rPr>
        <w:t xml:space="preserve"> </w:t>
      </w:r>
      <w:proofErr w:type="spellStart"/>
      <w:r w:rsidR="00F97776">
        <w:rPr>
          <w:lang w:val="en-US"/>
        </w:rPr>
        <w:t>antibiotik</w:t>
      </w:r>
      <w:proofErr w:type="spellEnd"/>
      <w:r w:rsidR="00F97776">
        <w:rPr>
          <w:lang w:val="en-US"/>
        </w:rPr>
        <w:t>.</w:t>
      </w:r>
      <w:proofErr w:type="gramEnd"/>
      <w:r w:rsidR="00F97776">
        <w:rPr>
          <w:lang w:val="en-US"/>
        </w:rPr>
        <w:t xml:space="preserve"> </w:t>
      </w:r>
      <w:r w:rsidR="00F97776">
        <w:t xml:space="preserve">Hasil penelitian dari Amiri, dabaghzadeh dan Oghabian pada tahun 2020, dari dari 180 resep antibiotik yang terdeteksi untuk 57 pasien, yang mana terjadi kesalahan peresepan sebanyak 78, kasus kesalahan terbanyak adalah pemelihan obat (61,50%) dan dosis yang tidak tepat (24,40%) </w:t>
      </w:r>
      <w:r w:rsidR="00F97776">
        <w:rPr>
          <w:rStyle w:val="FootnoteReference"/>
        </w:rPr>
        <w:fldChar w:fldCharType="begin" w:fldLock="1"/>
      </w:r>
      <w:r w:rsidR="00F97776">
        <w:instrText>ADDIN CSL_CITATION {"citationItems":[{"id":"ITEM-1","itemData":{"DOI":"10.1002/jppr.1586","ISBN":"7616913555","ISSN":"1445937X","abstract":"Background: Clinical pharmacists and clinically trained pharmacists can detect and correct prescribing errors by reviewing physicians' orders. In addition, prescribing errors related to antibiotics occur frequently in emergency departments (EDs). Aim: This study evaluated the role of pharmacists in reducing antibiotic prescribing errors in an ED. Methods: One clinically trained pharmacist spent 4 h/day in the ED for 30 days. The pharmacist attended the ward rounds and reviewed medical records to identify prescribing errors related to antibiotics, and corrected these errors in consultation with emergency physicians. The types and severity of antibiotic prescribing errors were determined. The corrected errors were also classified. Results: Antibiotics had been prescribed for 110 of 267 patients (41.20%). In all, 180 antibiotic prescriptions were identified for 57 patients, of which 78 had prescribing errors. The most common types of errors were incorrect drug selection (48/78; 61.50%) and wrong dose (19/78; 24.40%), and the most common actual severities were Type B (30/78; 38.46%) and Type C (35/78; (44.87%). In addition, 41 of 78 antibiotic prescribing errors were accepted as errors by emergency physicians. The corrected prescribing errors were categorised as two (4.88%) intercepted potential adverse drug events (ADEs), 35 (85.36%) mitigated ADEs and four (9.76%) ameliorated ADEs. Conclusion: Pharmacists have a significant role in the identification and correction of antibiotic prescribing errors. In addition, collaboration between physicians and pharmacists can lead to more appropriate antibiotic use in hospitals.","author":[{"dropping-particle":"","family":"Amiri Jabalbarez","given":"Farzin","non-dropping-particle":"","parse-names":false,"suffix":""},{"dropping-particle":"","family":"Dabaghzadeh","given":"Fatemeh","non-dropping-particle":"","parse-names":false,"suffix":""},{"dropping-particle":"","family":"Oghabian","given":"Zohreh","non-dropping-particle":"","parse-names":false,"suffix":""}],"container-title":"Journal of Pharmacy Practice and Research","id":"ITEM-1","issue":"1","issued":{"date-parts":[["2020"]]},"page":"42-47","title":"Role of pharmacists in reducing antibiotic prescribing errors in an emergency department","type":"article-journal","volume":"50"},"uris":["http://www.mendeley.com/documents/?uuid=898ed825-8de9-4e5e-a4af-e159519776ae"]}],"mendeley":{"formattedCitation":"(Amiri Jabalbarez et al., 2020)","plainTextFormattedCitation":"(Amiri Jabalbarez et al., 2020)","previouslyFormattedCitation":"(Amiri Jabalbarez et al., 2020)"},"properties":{"noteIndex":0},"schema":"https://github.com/citation-style-language/schema/raw/master/csl-citation.json"}</w:instrText>
      </w:r>
      <w:r w:rsidR="00F97776">
        <w:rPr>
          <w:rStyle w:val="FootnoteReference"/>
        </w:rPr>
        <w:fldChar w:fldCharType="separate"/>
      </w:r>
      <w:r w:rsidR="00F97776" w:rsidRPr="000240F3">
        <w:rPr>
          <w:bCs/>
          <w:noProof/>
          <w:lang w:val="en-US"/>
        </w:rPr>
        <w:t>(Amiri Jabalbarez et al., 2020)</w:t>
      </w:r>
      <w:r w:rsidR="00F97776">
        <w:rPr>
          <w:rStyle w:val="FootnoteReference"/>
        </w:rPr>
        <w:fldChar w:fldCharType="end"/>
      </w:r>
    </w:p>
    <w:p w:rsidR="008E537F" w:rsidRDefault="00F97776" w:rsidP="001E5501">
      <w:pPr>
        <w:spacing w:before="6" w:after="0" w:line="360" w:lineRule="auto"/>
        <w:ind w:left="2" w:right="4" w:firstLine="718"/>
      </w:pPr>
      <w:r>
        <w:t>Instalasi gawat Darurat (IGD) merupakan unit pelayanan yang berada di rumah sakit yang menyediakan pertolongan pertama (bagi pasien yang datang ke rumah sakit secara langsung atau pasien rujukan dari fasilitas kesehatan lain seperti rumah sakit, puskesmas maupun klinik) kepada pasien yang sakit ataupun cedera yang dianggap mengancam keselamatan</w:t>
      </w:r>
      <w:r>
        <w:rPr>
          <w:lang w:val="en-US"/>
        </w:rPr>
        <w:t xml:space="preserve">. </w:t>
      </w:r>
      <w:r>
        <w:t xml:space="preserve">RSUD Kota Mataram adalah rumah sakit milik pemerintah kota mataram yang diresmikan pada tanggal 31 Agustus 2009 dan mulai beropreasi pada 3 maret 2010 sebagai salah </w:t>
      </w:r>
      <w:r>
        <w:lastRenderedPageBreak/>
        <w:t xml:space="preserve">satu unit pelayanan kesehatan di kota mataram. RSUD Kota Mataram telah </w:t>
      </w:r>
    </w:p>
    <w:p w:rsidR="00F97776" w:rsidRDefault="00F97776" w:rsidP="001E5501">
      <w:pPr>
        <w:spacing w:before="6" w:after="0" w:line="360" w:lineRule="auto"/>
        <w:ind w:left="2" w:right="4" w:firstLine="718"/>
        <w:rPr>
          <w:lang w:val="en-US"/>
        </w:rPr>
      </w:pPr>
      <w:r>
        <w:t>menjadi rumah sakit kelas B pada tahun 2013 dengan sumber daya manusia yang berjumlah 1.154 orang</w:t>
      </w:r>
      <w:r>
        <w:rPr>
          <w:lang w:val="en-US"/>
        </w:rPr>
        <w:t>.</w:t>
      </w:r>
    </w:p>
    <w:p w:rsidR="00F97776" w:rsidRDefault="00F97776" w:rsidP="001E5501">
      <w:pPr>
        <w:spacing w:before="6" w:after="0" w:line="360" w:lineRule="auto"/>
        <w:ind w:left="2" w:right="4" w:firstLine="718"/>
        <w:rPr>
          <w:lang w:val="en-US"/>
        </w:rPr>
      </w:pPr>
      <w:proofErr w:type="spellStart"/>
      <w:proofErr w:type="gramStart"/>
      <w:r>
        <w:rPr>
          <w:lang w:val="en-US"/>
        </w:rPr>
        <w:t>Berdasarkan</w:t>
      </w:r>
      <w:proofErr w:type="spellEnd"/>
      <w:r>
        <w:rPr>
          <w:lang w:val="en-US"/>
        </w:rPr>
        <w:t xml:space="preserve"> </w:t>
      </w:r>
      <w:proofErr w:type="spellStart"/>
      <w:r>
        <w:rPr>
          <w:lang w:val="en-US"/>
        </w:rPr>
        <w:t>uraian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ingin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peresepan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intalasi</w:t>
      </w:r>
      <w:proofErr w:type="spellEnd"/>
      <w:r>
        <w:rPr>
          <w:lang w:val="en-US"/>
        </w:rPr>
        <w:t xml:space="preserve"> </w:t>
      </w:r>
      <w:proofErr w:type="spellStart"/>
      <w:r>
        <w:rPr>
          <w:lang w:val="en-US"/>
        </w:rPr>
        <w:t>gawat</w:t>
      </w:r>
      <w:proofErr w:type="spellEnd"/>
      <w:r>
        <w:rPr>
          <w:lang w:val="en-US"/>
        </w:rPr>
        <w:t xml:space="preserve"> </w:t>
      </w:r>
      <w:proofErr w:type="spellStart"/>
      <w:r>
        <w:rPr>
          <w:lang w:val="en-US"/>
        </w:rPr>
        <w:t>darurat</w:t>
      </w:r>
      <w:proofErr w:type="spellEnd"/>
      <w:r w:rsidR="00785CC3">
        <w:rPr>
          <w:lang w:val="en-US"/>
        </w:rPr>
        <w:t xml:space="preserve"> RSUD Kota </w:t>
      </w:r>
      <w:proofErr w:type="spellStart"/>
      <w:r w:rsidR="00785CC3">
        <w:rPr>
          <w:lang w:val="en-US"/>
        </w:rPr>
        <w:t>Mataram</w:t>
      </w:r>
      <w:proofErr w:type="spellEnd"/>
      <w:r w:rsidR="00785CC3">
        <w:rPr>
          <w:lang w:val="en-US"/>
        </w:rPr>
        <w:t xml:space="preserve"> </w:t>
      </w:r>
      <w:proofErr w:type="spellStart"/>
      <w:r w:rsidR="00785CC3">
        <w:rPr>
          <w:lang w:val="en-US"/>
        </w:rPr>
        <w:t>dengan</w:t>
      </w:r>
      <w:proofErr w:type="spellEnd"/>
      <w:r w:rsidR="00785CC3">
        <w:rPr>
          <w:lang w:val="en-US"/>
        </w:rPr>
        <w:t xml:space="preserve"> </w:t>
      </w:r>
      <w:proofErr w:type="spellStart"/>
      <w:r w:rsidR="00785CC3">
        <w:rPr>
          <w:lang w:val="en-US"/>
        </w:rPr>
        <w:t>menggunakan</w:t>
      </w:r>
      <w:proofErr w:type="spellEnd"/>
      <w:r w:rsidR="00785CC3">
        <w:rPr>
          <w:lang w:val="en-US"/>
        </w:rPr>
        <w:t xml:space="preserve"> </w:t>
      </w:r>
      <w:proofErr w:type="spellStart"/>
      <w:r w:rsidR="00785CC3">
        <w:rPr>
          <w:lang w:val="en-US"/>
        </w:rPr>
        <w:t>indikato</w:t>
      </w:r>
      <w:proofErr w:type="spellEnd"/>
      <w:r w:rsidR="00785CC3">
        <w:rPr>
          <w:lang w:val="en-US"/>
        </w:rPr>
        <w:t xml:space="preserve"> </w:t>
      </w:r>
      <w:proofErr w:type="spellStart"/>
      <w:r w:rsidR="00785CC3">
        <w:rPr>
          <w:lang w:val="en-US"/>
        </w:rPr>
        <w:t>tepat</w:t>
      </w:r>
      <w:proofErr w:type="spellEnd"/>
      <w:r w:rsidR="00785CC3">
        <w:rPr>
          <w:lang w:val="en-US"/>
        </w:rPr>
        <w:t xml:space="preserve"> </w:t>
      </w:r>
      <w:proofErr w:type="spellStart"/>
      <w:r w:rsidR="00785CC3">
        <w:rPr>
          <w:lang w:val="en-US"/>
        </w:rPr>
        <w:t>indikasi</w:t>
      </w:r>
      <w:proofErr w:type="spellEnd"/>
      <w:r w:rsidR="00785CC3">
        <w:rPr>
          <w:lang w:val="en-US"/>
        </w:rPr>
        <w:t xml:space="preserve">, </w:t>
      </w:r>
      <w:proofErr w:type="spellStart"/>
      <w:r w:rsidR="00785CC3">
        <w:rPr>
          <w:lang w:val="en-US"/>
        </w:rPr>
        <w:t>tepat</w:t>
      </w:r>
      <w:proofErr w:type="spellEnd"/>
      <w:r w:rsidR="00785CC3">
        <w:rPr>
          <w:lang w:val="en-US"/>
        </w:rPr>
        <w:t xml:space="preserve"> </w:t>
      </w:r>
      <w:proofErr w:type="spellStart"/>
      <w:r w:rsidR="00785CC3">
        <w:rPr>
          <w:lang w:val="en-US"/>
        </w:rPr>
        <w:t>dosis</w:t>
      </w:r>
      <w:proofErr w:type="spellEnd"/>
      <w:r w:rsidR="00785CC3">
        <w:rPr>
          <w:lang w:val="en-US"/>
        </w:rPr>
        <w:t xml:space="preserve"> </w:t>
      </w:r>
      <w:proofErr w:type="spellStart"/>
      <w:r w:rsidR="00785CC3">
        <w:rPr>
          <w:lang w:val="en-US"/>
        </w:rPr>
        <w:t>dan</w:t>
      </w:r>
      <w:proofErr w:type="spellEnd"/>
      <w:r w:rsidR="00785CC3">
        <w:rPr>
          <w:lang w:val="en-US"/>
        </w:rPr>
        <w:t xml:space="preserve"> </w:t>
      </w:r>
      <w:proofErr w:type="spellStart"/>
      <w:r w:rsidR="00785CC3">
        <w:rPr>
          <w:lang w:val="en-US"/>
        </w:rPr>
        <w:t>tepat</w:t>
      </w:r>
      <w:proofErr w:type="spellEnd"/>
      <w:r w:rsidR="00785CC3">
        <w:rPr>
          <w:lang w:val="en-US"/>
        </w:rPr>
        <w:t xml:space="preserve"> </w:t>
      </w:r>
      <w:proofErr w:type="spellStart"/>
      <w:r w:rsidR="00785CC3">
        <w:rPr>
          <w:lang w:val="en-US"/>
        </w:rPr>
        <w:t>pasien</w:t>
      </w:r>
      <w:proofErr w:type="spellEnd"/>
      <w:r w:rsidR="00785CC3">
        <w:rPr>
          <w:lang w:val="en-US"/>
        </w:rPr>
        <w:t>.</w:t>
      </w:r>
      <w:proofErr w:type="gramEnd"/>
    </w:p>
    <w:p w:rsidR="00785CC3" w:rsidRPr="00785CC3" w:rsidRDefault="00785CC3" w:rsidP="00785CC3">
      <w:pPr>
        <w:spacing w:before="6" w:after="0" w:line="360" w:lineRule="auto"/>
        <w:ind w:right="4"/>
        <w:rPr>
          <w:b/>
          <w:lang w:val="en-US"/>
        </w:rPr>
      </w:pPr>
      <w:proofErr w:type="spellStart"/>
      <w:r w:rsidRPr="00785CC3">
        <w:rPr>
          <w:b/>
          <w:lang w:val="en-US"/>
        </w:rPr>
        <w:t>Metode</w:t>
      </w:r>
      <w:proofErr w:type="spellEnd"/>
      <w:r w:rsidRPr="00785CC3">
        <w:rPr>
          <w:b/>
          <w:lang w:val="en-US"/>
        </w:rPr>
        <w:t xml:space="preserve"> </w:t>
      </w:r>
      <w:proofErr w:type="spellStart"/>
      <w:r w:rsidRPr="00785CC3">
        <w:rPr>
          <w:b/>
          <w:lang w:val="en-US"/>
        </w:rPr>
        <w:t>Penelitian</w:t>
      </w:r>
      <w:proofErr w:type="spellEnd"/>
    </w:p>
    <w:p w:rsidR="0014152E" w:rsidRDefault="00785CC3" w:rsidP="00785CC3">
      <w:pPr>
        <w:spacing w:before="6" w:after="0" w:line="360" w:lineRule="auto"/>
        <w:ind w:left="2" w:right="4" w:firstLine="4"/>
        <w:rPr>
          <w:rFonts w:eastAsia="Times New Roman" w:cs="Times New Roman"/>
          <w:szCs w:val="24"/>
          <w:lang w:val="en-US"/>
        </w:rPr>
      </w:pPr>
      <w:r>
        <w:t xml:space="preserve">      Penelitian ini </w:t>
      </w:r>
      <w:proofErr w:type="spellStart"/>
      <w:r>
        <w:rPr>
          <w:lang w:val="en-US"/>
        </w:rPr>
        <w:t>termasuk</w:t>
      </w:r>
      <w:proofErr w:type="spellEnd"/>
      <w:r>
        <w:rPr>
          <w:lang w:val="en-US"/>
        </w:rPr>
        <w:t xml:space="preserve"> </w:t>
      </w:r>
      <w:proofErr w:type="spellStart"/>
      <w:r>
        <w:rPr>
          <w:lang w:val="en-US"/>
        </w:rPr>
        <w:t>kedalam</w:t>
      </w:r>
      <w:proofErr w:type="spellEnd"/>
      <w:r>
        <w:rPr>
          <w:lang w:val="en-US"/>
        </w:rPr>
        <w:t xml:space="preserve"> </w:t>
      </w:r>
      <w:proofErr w:type="spellStart"/>
      <w:r>
        <w:rPr>
          <w:lang w:val="en-US"/>
        </w:rPr>
        <w:t>penelitian</w:t>
      </w:r>
      <w:proofErr w:type="spellEnd"/>
      <w:r>
        <w:rPr>
          <w:lang w:val="en-US"/>
        </w:rPr>
        <w:t xml:space="preserve"> </w:t>
      </w:r>
      <w:r>
        <w:t>deskripti</w:t>
      </w:r>
      <w:r>
        <w:rPr>
          <w:lang w:val="en-US"/>
        </w:rPr>
        <w:t>f</w:t>
      </w:r>
      <w:r>
        <w:t xml:space="preserve"> analiti</w:t>
      </w:r>
      <w:r>
        <w:rPr>
          <w:lang w:val="en-US"/>
        </w:rPr>
        <w:t xml:space="preserve">f </w:t>
      </w:r>
      <w:proofErr w:type="spellStart"/>
      <w:r>
        <w:rPr>
          <w:lang w:val="en-US"/>
        </w:rPr>
        <w:t>dengan</w:t>
      </w:r>
      <w:proofErr w:type="spellEnd"/>
      <w:r>
        <w:rPr>
          <w:lang w:val="en-US"/>
        </w:rPr>
        <w:t xml:space="preserve"> </w:t>
      </w:r>
      <w:proofErr w:type="spellStart"/>
      <w:r>
        <w:rPr>
          <w:lang w:val="en-US"/>
        </w:rPr>
        <w:t>pengambilan</w:t>
      </w:r>
      <w:proofErr w:type="spellEnd"/>
      <w:r>
        <w:rPr>
          <w:lang w:val="en-US"/>
        </w:rPr>
        <w:t xml:space="preserve"> data </w:t>
      </w:r>
      <w:proofErr w:type="spellStart"/>
      <w:r>
        <w:rPr>
          <w:lang w:val="en-US"/>
        </w:rPr>
        <w:t>secara</w:t>
      </w:r>
      <w:proofErr w:type="spellEnd"/>
      <w:r>
        <w:rPr>
          <w:lang w:val="en-US"/>
        </w:rPr>
        <w:t xml:space="preserve"> </w:t>
      </w:r>
      <w:proofErr w:type="spellStart"/>
      <w:r>
        <w:rPr>
          <w:lang w:val="en-US"/>
        </w:rPr>
        <w:t>retrospektif</w:t>
      </w:r>
      <w:proofErr w:type="spellEnd"/>
      <w:r>
        <w:rPr>
          <w:lang w:val="en-US"/>
        </w:rPr>
        <w:t>.</w:t>
      </w:r>
      <w:r>
        <w:t xml:space="preserve"> </w:t>
      </w:r>
      <w:r>
        <w:lastRenderedPageBreak/>
        <w:t>Pengambilan data dilakukan secara kualitatif dengan menggunakan standar pedoman antibiotik dan dievaluasi secara kuantitati</w:t>
      </w:r>
      <w:r>
        <w:rPr>
          <w:lang w:val="en-US"/>
        </w:rPr>
        <w:t xml:space="preserve"> </w:t>
      </w:r>
      <w:proofErr w:type="spellStart"/>
      <w:r>
        <w:rPr>
          <w:lang w:val="en-US"/>
        </w:rPr>
        <w:t>untuk</w:t>
      </w:r>
      <w:proofErr w:type="spellEnd"/>
      <w:r>
        <w:rPr>
          <w:lang w:val="en-US"/>
        </w:rPr>
        <w:t xml:space="preserve"> </w:t>
      </w:r>
      <w:proofErr w:type="spellStart"/>
      <w:r>
        <w:rPr>
          <w:lang w:val="en-US"/>
        </w:rPr>
        <w:t>mengevaluasi</w:t>
      </w:r>
      <w:proofErr w:type="spellEnd"/>
      <w:r>
        <w:rPr>
          <w:lang w:val="en-US"/>
        </w:rPr>
        <w:t xml:space="preserve"> </w:t>
      </w:r>
      <w:proofErr w:type="spellStart"/>
      <w:r>
        <w:rPr>
          <w:lang w:val="en-US"/>
        </w:rPr>
        <w:t>peresepan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instalasi</w:t>
      </w:r>
      <w:proofErr w:type="spellEnd"/>
      <w:r>
        <w:rPr>
          <w:lang w:val="en-US"/>
        </w:rPr>
        <w:t xml:space="preserve"> </w:t>
      </w:r>
      <w:proofErr w:type="spellStart"/>
      <w:r>
        <w:rPr>
          <w:lang w:val="en-US"/>
        </w:rPr>
        <w:t>gawat</w:t>
      </w:r>
      <w:proofErr w:type="spellEnd"/>
      <w:r>
        <w:rPr>
          <w:lang w:val="en-US"/>
        </w:rPr>
        <w:t xml:space="preserve"> </w:t>
      </w:r>
      <w:proofErr w:type="spellStart"/>
      <w:r>
        <w:rPr>
          <w:lang w:val="en-US"/>
        </w:rPr>
        <w:t>darurat</w:t>
      </w:r>
      <w:proofErr w:type="spellEnd"/>
      <w:r>
        <w:rPr>
          <w:lang w:val="en-US"/>
        </w:rPr>
        <w:t xml:space="preserve"> RSUD Kota </w:t>
      </w:r>
      <w:proofErr w:type="spellStart"/>
      <w:r>
        <w:rPr>
          <w:lang w:val="en-US"/>
        </w:rPr>
        <w:t>Mataram</w:t>
      </w:r>
      <w:proofErr w:type="spellEnd"/>
      <w:r>
        <w:rPr>
          <w:lang w:val="en-US"/>
        </w:rPr>
        <w:t xml:space="preserve">. Data yang </w:t>
      </w:r>
      <w:proofErr w:type="spellStart"/>
      <w:r>
        <w:rPr>
          <w:lang w:val="en-US"/>
        </w:rPr>
        <w:t>diambil</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medik</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bulan</w:t>
      </w:r>
      <w:proofErr w:type="spellEnd"/>
      <w:r>
        <w:rPr>
          <w:lang w:val="en-US"/>
        </w:rPr>
        <w:t xml:space="preserve"> </w:t>
      </w:r>
      <w:proofErr w:type="spellStart"/>
      <w:proofErr w:type="gramStart"/>
      <w:r>
        <w:rPr>
          <w:lang w:val="en-US"/>
        </w:rPr>
        <w:t>april</w:t>
      </w:r>
      <w:proofErr w:type="spellEnd"/>
      <w:proofErr w:type="gramEnd"/>
      <w:r>
        <w:rPr>
          <w:lang w:val="en-US"/>
        </w:rPr>
        <w:t xml:space="preserve"> 2021</w:t>
      </w:r>
    </w:p>
    <w:p w:rsidR="00B0474D" w:rsidRDefault="00B0474D" w:rsidP="00B0474D">
      <w:pPr>
        <w:spacing w:before="6" w:after="0" w:line="360" w:lineRule="auto"/>
        <w:ind w:left="2" w:right="4" w:firstLine="4"/>
        <w:rPr>
          <w:rFonts w:eastAsia="Times New Roman" w:cs="Times New Roman"/>
          <w:szCs w:val="24"/>
          <w:lang w:val="en-US"/>
        </w:rPr>
      </w:pPr>
      <w:proofErr w:type="spellStart"/>
      <w:r>
        <w:rPr>
          <w:rFonts w:eastAsia="Times New Roman" w:cs="Times New Roman"/>
          <w:szCs w:val="24"/>
          <w:lang w:val="en-US"/>
        </w:rPr>
        <w:t>Pada</w:t>
      </w:r>
      <w:proofErr w:type="spellEnd"/>
      <w:r>
        <w:rPr>
          <w:rFonts w:eastAsia="Times New Roman" w:cs="Times New Roman"/>
          <w:szCs w:val="24"/>
          <w:lang w:val="en-US"/>
        </w:rPr>
        <w:t xml:space="preserve"> </w:t>
      </w:r>
      <w:proofErr w:type="spellStart"/>
      <w:r>
        <w:rPr>
          <w:rFonts w:eastAsia="Times New Roman" w:cs="Times New Roman"/>
          <w:szCs w:val="24"/>
          <w:lang w:val="en-US"/>
        </w:rPr>
        <w:t>indikator</w:t>
      </w:r>
      <w:proofErr w:type="spellEnd"/>
      <w:r>
        <w:rPr>
          <w:rFonts w:eastAsia="Times New Roman" w:cs="Times New Roman"/>
          <w:szCs w:val="24"/>
          <w:lang w:val="en-US"/>
        </w:rPr>
        <w:t xml:space="preserve"> </w:t>
      </w:r>
      <w:proofErr w:type="spellStart"/>
      <w:r>
        <w:rPr>
          <w:rFonts w:eastAsia="Times New Roman" w:cs="Times New Roman"/>
          <w:szCs w:val="24"/>
          <w:lang w:val="en-US"/>
        </w:rPr>
        <w:t>tepat</w:t>
      </w:r>
      <w:proofErr w:type="spellEnd"/>
      <w:r>
        <w:rPr>
          <w:rFonts w:eastAsia="Times New Roman" w:cs="Times New Roman"/>
          <w:szCs w:val="24"/>
          <w:lang w:val="en-US"/>
        </w:rPr>
        <w:t xml:space="preserve"> </w:t>
      </w:r>
      <w:proofErr w:type="spellStart"/>
      <w:r>
        <w:rPr>
          <w:rFonts w:eastAsia="Times New Roman" w:cs="Times New Roman"/>
          <w:szCs w:val="24"/>
          <w:lang w:val="en-US"/>
        </w:rPr>
        <w:t>indikasi</w:t>
      </w:r>
      <w:proofErr w:type="spellEnd"/>
      <w:r>
        <w:rPr>
          <w:rFonts w:eastAsia="Times New Roman" w:cs="Times New Roman"/>
          <w:szCs w:val="24"/>
          <w:lang w:val="en-US"/>
        </w:rPr>
        <w:t xml:space="preserve"> </w:t>
      </w:r>
      <w:proofErr w:type="spellStart"/>
      <w:r>
        <w:rPr>
          <w:rFonts w:eastAsia="Times New Roman" w:cs="Times New Roman"/>
          <w:szCs w:val="24"/>
          <w:lang w:val="en-US"/>
        </w:rPr>
        <w:t>menggunakan</w:t>
      </w:r>
      <w:proofErr w:type="spellEnd"/>
      <w:r>
        <w:rPr>
          <w:rFonts w:eastAsia="Times New Roman" w:cs="Times New Roman"/>
          <w:szCs w:val="24"/>
          <w:lang w:val="en-US"/>
        </w:rPr>
        <w:t xml:space="preserve"> data </w:t>
      </w:r>
      <w:proofErr w:type="spellStart"/>
      <w:r>
        <w:rPr>
          <w:rFonts w:eastAsia="Times New Roman" w:cs="Times New Roman"/>
          <w:szCs w:val="24"/>
          <w:lang w:val="en-US"/>
        </w:rPr>
        <w:t>diagnosa</w:t>
      </w:r>
      <w:proofErr w:type="spellEnd"/>
      <w:r>
        <w:rPr>
          <w:rFonts w:eastAsia="Times New Roman" w:cs="Times New Roman"/>
          <w:szCs w:val="24"/>
          <w:lang w:val="en-US"/>
        </w:rPr>
        <w:t xml:space="preserve"> </w:t>
      </w:r>
      <w:proofErr w:type="spellStart"/>
      <w:r>
        <w:rPr>
          <w:rFonts w:eastAsia="Times New Roman" w:cs="Times New Roman"/>
          <w:szCs w:val="24"/>
          <w:lang w:val="en-US"/>
        </w:rPr>
        <w:t>pasien</w:t>
      </w:r>
      <w:proofErr w:type="spellEnd"/>
      <w:r>
        <w:rPr>
          <w:rFonts w:eastAsia="Times New Roman" w:cs="Times New Roman"/>
          <w:szCs w:val="24"/>
          <w:lang w:val="en-US"/>
        </w:rPr>
        <w:t xml:space="preserve">, </w:t>
      </w:r>
      <w:proofErr w:type="spellStart"/>
      <w:r>
        <w:rPr>
          <w:rFonts w:eastAsia="Times New Roman" w:cs="Times New Roman"/>
          <w:szCs w:val="24"/>
          <w:lang w:val="en-US"/>
        </w:rPr>
        <w:t>pada</w:t>
      </w:r>
      <w:proofErr w:type="spellEnd"/>
      <w:r>
        <w:rPr>
          <w:rFonts w:eastAsia="Times New Roman" w:cs="Times New Roman"/>
          <w:szCs w:val="24"/>
          <w:lang w:val="en-US"/>
        </w:rPr>
        <w:t xml:space="preserve"> </w:t>
      </w:r>
      <w:proofErr w:type="spellStart"/>
      <w:r>
        <w:rPr>
          <w:rFonts w:eastAsia="Times New Roman" w:cs="Times New Roman"/>
          <w:szCs w:val="24"/>
          <w:lang w:val="en-US"/>
        </w:rPr>
        <w:t>indikasot</w:t>
      </w:r>
      <w:proofErr w:type="spellEnd"/>
      <w:r>
        <w:rPr>
          <w:rFonts w:eastAsia="Times New Roman" w:cs="Times New Roman"/>
          <w:szCs w:val="24"/>
          <w:lang w:val="en-US"/>
        </w:rPr>
        <w:t xml:space="preserve"> </w:t>
      </w:r>
      <w:proofErr w:type="spellStart"/>
      <w:r>
        <w:rPr>
          <w:rFonts w:eastAsia="Times New Roman" w:cs="Times New Roman"/>
          <w:szCs w:val="24"/>
          <w:lang w:val="en-US"/>
        </w:rPr>
        <w:t>tepat</w:t>
      </w:r>
      <w:proofErr w:type="spellEnd"/>
      <w:r>
        <w:rPr>
          <w:rFonts w:eastAsia="Times New Roman" w:cs="Times New Roman"/>
          <w:szCs w:val="24"/>
          <w:lang w:val="en-US"/>
        </w:rPr>
        <w:t xml:space="preserve"> </w:t>
      </w:r>
      <w:proofErr w:type="spellStart"/>
      <w:r>
        <w:rPr>
          <w:rFonts w:eastAsia="Times New Roman" w:cs="Times New Roman"/>
          <w:szCs w:val="24"/>
          <w:lang w:val="en-US"/>
        </w:rPr>
        <w:t>dosis</w:t>
      </w:r>
      <w:proofErr w:type="spellEnd"/>
      <w:r>
        <w:rPr>
          <w:rFonts w:eastAsia="Times New Roman" w:cs="Times New Roman"/>
          <w:szCs w:val="24"/>
          <w:lang w:val="en-US"/>
        </w:rPr>
        <w:t xml:space="preserve"> </w:t>
      </w:r>
      <w:proofErr w:type="spellStart"/>
      <w:r>
        <w:rPr>
          <w:rFonts w:eastAsia="Times New Roman" w:cs="Times New Roman"/>
          <w:szCs w:val="24"/>
          <w:lang w:val="en-US"/>
        </w:rPr>
        <w:t>menggunakan</w:t>
      </w:r>
      <w:proofErr w:type="spellEnd"/>
      <w:r>
        <w:rPr>
          <w:rFonts w:eastAsia="Times New Roman" w:cs="Times New Roman"/>
          <w:szCs w:val="24"/>
          <w:lang w:val="en-US"/>
        </w:rPr>
        <w:t xml:space="preserve"> data </w:t>
      </w:r>
      <w:proofErr w:type="spellStart"/>
      <w:r>
        <w:rPr>
          <w:rFonts w:eastAsia="Times New Roman" w:cs="Times New Roman"/>
          <w:szCs w:val="24"/>
          <w:lang w:val="en-US"/>
        </w:rPr>
        <w:t>dosis</w:t>
      </w:r>
      <w:proofErr w:type="spellEnd"/>
      <w:r>
        <w:rPr>
          <w:rFonts w:eastAsia="Times New Roman" w:cs="Times New Roman"/>
          <w:szCs w:val="24"/>
          <w:lang w:val="en-US"/>
        </w:rPr>
        <w:t xml:space="preserve"> </w:t>
      </w:r>
      <w:proofErr w:type="spellStart"/>
      <w:r>
        <w:rPr>
          <w:rFonts w:eastAsia="Times New Roman" w:cs="Times New Roman"/>
          <w:szCs w:val="24"/>
          <w:lang w:val="en-US"/>
        </w:rPr>
        <w:t>dan</w:t>
      </w:r>
      <w:proofErr w:type="spellEnd"/>
      <w:r>
        <w:rPr>
          <w:rFonts w:eastAsia="Times New Roman" w:cs="Times New Roman"/>
          <w:szCs w:val="24"/>
          <w:lang w:val="en-US"/>
        </w:rPr>
        <w:t xml:space="preserve"> </w:t>
      </w:r>
      <w:proofErr w:type="spellStart"/>
      <w:r>
        <w:rPr>
          <w:rFonts w:eastAsia="Times New Roman" w:cs="Times New Roman"/>
          <w:szCs w:val="24"/>
          <w:lang w:val="en-US"/>
        </w:rPr>
        <w:t>aturan</w:t>
      </w:r>
      <w:proofErr w:type="spellEnd"/>
      <w:r>
        <w:rPr>
          <w:rFonts w:eastAsia="Times New Roman" w:cs="Times New Roman"/>
          <w:szCs w:val="24"/>
          <w:lang w:val="en-US"/>
        </w:rPr>
        <w:t xml:space="preserve"> </w:t>
      </w:r>
      <w:proofErr w:type="spellStart"/>
      <w:r>
        <w:rPr>
          <w:rFonts w:eastAsia="Times New Roman" w:cs="Times New Roman"/>
          <w:szCs w:val="24"/>
          <w:lang w:val="en-US"/>
        </w:rPr>
        <w:t>pakai</w:t>
      </w:r>
      <w:proofErr w:type="spellEnd"/>
      <w:r>
        <w:rPr>
          <w:rFonts w:eastAsia="Times New Roman" w:cs="Times New Roman"/>
          <w:szCs w:val="24"/>
          <w:lang w:val="en-US"/>
        </w:rPr>
        <w:t xml:space="preserve"> </w:t>
      </w:r>
      <w:proofErr w:type="spellStart"/>
      <w:r>
        <w:rPr>
          <w:rFonts w:eastAsia="Times New Roman" w:cs="Times New Roman"/>
          <w:szCs w:val="24"/>
          <w:lang w:val="en-US"/>
        </w:rPr>
        <w:t>obat</w:t>
      </w:r>
      <w:proofErr w:type="spellEnd"/>
      <w:r>
        <w:rPr>
          <w:rFonts w:eastAsia="Times New Roman" w:cs="Times New Roman"/>
          <w:szCs w:val="24"/>
          <w:lang w:val="en-US"/>
        </w:rPr>
        <w:t xml:space="preserve"> </w:t>
      </w:r>
      <w:proofErr w:type="spellStart"/>
      <w:r>
        <w:rPr>
          <w:rFonts w:eastAsia="Times New Roman" w:cs="Times New Roman"/>
          <w:szCs w:val="24"/>
          <w:lang w:val="en-US"/>
        </w:rPr>
        <w:t>sedangkan</w:t>
      </w:r>
      <w:proofErr w:type="spellEnd"/>
      <w:r>
        <w:rPr>
          <w:rFonts w:eastAsia="Times New Roman" w:cs="Times New Roman"/>
          <w:szCs w:val="24"/>
          <w:lang w:val="en-US"/>
        </w:rPr>
        <w:t xml:space="preserve"> </w:t>
      </w:r>
      <w:proofErr w:type="spellStart"/>
      <w:r>
        <w:rPr>
          <w:rFonts w:eastAsia="Times New Roman" w:cs="Times New Roman"/>
          <w:szCs w:val="24"/>
          <w:lang w:val="en-US"/>
        </w:rPr>
        <w:t>tepat</w:t>
      </w:r>
      <w:proofErr w:type="spellEnd"/>
      <w:r>
        <w:rPr>
          <w:rFonts w:eastAsia="Times New Roman" w:cs="Times New Roman"/>
          <w:szCs w:val="24"/>
          <w:lang w:val="en-US"/>
        </w:rPr>
        <w:t xml:space="preserve"> </w:t>
      </w:r>
      <w:proofErr w:type="spellStart"/>
      <w:r>
        <w:rPr>
          <w:rFonts w:eastAsia="Times New Roman" w:cs="Times New Roman"/>
          <w:szCs w:val="24"/>
          <w:lang w:val="en-US"/>
        </w:rPr>
        <w:t>pasien</w:t>
      </w:r>
      <w:proofErr w:type="spellEnd"/>
      <w:r>
        <w:rPr>
          <w:rFonts w:eastAsia="Times New Roman" w:cs="Times New Roman"/>
          <w:szCs w:val="24"/>
          <w:lang w:val="en-US"/>
        </w:rPr>
        <w:t xml:space="preserve"> </w:t>
      </w:r>
      <w:proofErr w:type="spellStart"/>
      <w:r>
        <w:rPr>
          <w:rFonts w:eastAsia="Times New Roman" w:cs="Times New Roman"/>
          <w:szCs w:val="24"/>
          <w:lang w:val="en-US"/>
        </w:rPr>
        <w:t>mengambil</w:t>
      </w:r>
      <w:proofErr w:type="spellEnd"/>
      <w:r>
        <w:rPr>
          <w:rFonts w:eastAsia="Times New Roman" w:cs="Times New Roman"/>
          <w:szCs w:val="24"/>
          <w:lang w:val="en-US"/>
        </w:rPr>
        <w:t xml:space="preserve"> data </w:t>
      </w:r>
      <w:proofErr w:type="spellStart"/>
      <w:r>
        <w:rPr>
          <w:rFonts w:eastAsia="Times New Roman" w:cs="Times New Roman"/>
          <w:szCs w:val="24"/>
          <w:lang w:val="en-US"/>
        </w:rPr>
        <w:t>riwayat</w:t>
      </w:r>
      <w:proofErr w:type="spellEnd"/>
      <w:r>
        <w:rPr>
          <w:rFonts w:eastAsia="Times New Roman" w:cs="Times New Roman"/>
          <w:szCs w:val="24"/>
          <w:lang w:val="en-US"/>
        </w:rPr>
        <w:t xml:space="preserve"> </w:t>
      </w:r>
      <w:proofErr w:type="spellStart"/>
      <w:r>
        <w:rPr>
          <w:rFonts w:eastAsia="Times New Roman" w:cs="Times New Roman"/>
          <w:szCs w:val="24"/>
          <w:lang w:val="en-US"/>
        </w:rPr>
        <w:t>penyakit</w:t>
      </w:r>
      <w:proofErr w:type="spellEnd"/>
      <w:r>
        <w:rPr>
          <w:rFonts w:eastAsia="Times New Roman" w:cs="Times New Roman"/>
          <w:szCs w:val="24"/>
          <w:lang w:val="en-US"/>
        </w:rPr>
        <w:t xml:space="preserve"> </w:t>
      </w:r>
      <w:proofErr w:type="spellStart"/>
      <w:r>
        <w:rPr>
          <w:rFonts w:eastAsia="Times New Roman" w:cs="Times New Roman"/>
          <w:szCs w:val="24"/>
          <w:lang w:val="en-US"/>
        </w:rPr>
        <w:t>dan</w:t>
      </w:r>
      <w:proofErr w:type="spellEnd"/>
      <w:r>
        <w:rPr>
          <w:rFonts w:eastAsia="Times New Roman" w:cs="Times New Roman"/>
          <w:szCs w:val="24"/>
          <w:lang w:val="en-US"/>
        </w:rPr>
        <w:t xml:space="preserve"> </w:t>
      </w:r>
      <w:proofErr w:type="spellStart"/>
      <w:r>
        <w:rPr>
          <w:rFonts w:eastAsia="Times New Roman" w:cs="Times New Roman"/>
          <w:szCs w:val="24"/>
          <w:lang w:val="en-US"/>
        </w:rPr>
        <w:t>alergi</w:t>
      </w:r>
      <w:proofErr w:type="spellEnd"/>
      <w:r>
        <w:rPr>
          <w:rFonts w:eastAsia="Times New Roman" w:cs="Times New Roman"/>
          <w:szCs w:val="24"/>
          <w:lang w:val="en-US"/>
        </w:rPr>
        <w:t xml:space="preserve"> </w:t>
      </w:r>
      <w:proofErr w:type="spellStart"/>
      <w:r>
        <w:rPr>
          <w:rFonts w:eastAsia="Times New Roman" w:cs="Times New Roman"/>
          <w:szCs w:val="24"/>
          <w:lang w:val="en-US"/>
        </w:rPr>
        <w:t>pasien</w:t>
      </w:r>
      <w:proofErr w:type="spellEnd"/>
      <w:r>
        <w:rPr>
          <w:rFonts w:eastAsia="Times New Roman" w:cs="Times New Roman"/>
          <w:szCs w:val="24"/>
          <w:lang w:val="en-US"/>
        </w:rPr>
        <w:t xml:space="preserve"> </w:t>
      </w:r>
      <w:proofErr w:type="spellStart"/>
      <w:r>
        <w:rPr>
          <w:rFonts w:eastAsia="Times New Roman" w:cs="Times New Roman"/>
          <w:szCs w:val="24"/>
          <w:lang w:val="en-US"/>
        </w:rPr>
        <w:t>terhadap</w:t>
      </w:r>
      <w:proofErr w:type="spellEnd"/>
      <w:r>
        <w:rPr>
          <w:rFonts w:eastAsia="Times New Roman" w:cs="Times New Roman"/>
          <w:szCs w:val="24"/>
          <w:lang w:val="en-US"/>
        </w:rPr>
        <w:t xml:space="preserve"> </w:t>
      </w:r>
      <w:proofErr w:type="spellStart"/>
      <w:r>
        <w:rPr>
          <w:rFonts w:eastAsia="Times New Roman" w:cs="Times New Roman"/>
          <w:szCs w:val="24"/>
          <w:lang w:val="en-US"/>
        </w:rPr>
        <w:t>antibiotik</w:t>
      </w:r>
      <w:proofErr w:type="spellEnd"/>
    </w:p>
    <w:p w:rsidR="00B0474D" w:rsidRDefault="00B0474D" w:rsidP="00B0474D">
      <w:pPr>
        <w:spacing w:before="6" w:after="0" w:line="360" w:lineRule="auto"/>
        <w:ind w:left="2" w:right="4" w:firstLine="4"/>
        <w:rPr>
          <w:rFonts w:eastAsia="Times New Roman" w:cs="Times New Roman"/>
          <w:b/>
          <w:szCs w:val="24"/>
          <w:lang w:val="en-US"/>
        </w:rPr>
        <w:sectPr w:rsidR="00B0474D" w:rsidSect="001E5501">
          <w:type w:val="continuous"/>
          <w:pgSz w:w="12240" w:h="15840"/>
          <w:pgMar w:top="1440" w:right="1440" w:bottom="1440" w:left="1440" w:header="708" w:footer="708" w:gutter="0"/>
          <w:cols w:num="2" w:space="708"/>
          <w:docGrid w:linePitch="360"/>
        </w:sectPr>
      </w:pPr>
    </w:p>
    <w:p w:rsidR="00B0474D" w:rsidRDefault="00B0474D" w:rsidP="00B0474D">
      <w:pPr>
        <w:spacing w:before="6" w:after="0" w:line="360" w:lineRule="auto"/>
        <w:ind w:left="2" w:right="4" w:firstLine="4"/>
        <w:rPr>
          <w:rFonts w:eastAsia="Times New Roman" w:cs="Times New Roman"/>
          <w:b/>
          <w:szCs w:val="24"/>
          <w:lang w:val="en-US"/>
        </w:rPr>
      </w:pPr>
      <w:proofErr w:type="spellStart"/>
      <w:r w:rsidRPr="008E537F">
        <w:rPr>
          <w:rFonts w:eastAsia="Times New Roman" w:cs="Times New Roman"/>
          <w:b/>
          <w:szCs w:val="24"/>
          <w:lang w:val="en-US"/>
        </w:rPr>
        <w:lastRenderedPageBreak/>
        <w:t>Hasil</w:t>
      </w:r>
      <w:proofErr w:type="spellEnd"/>
      <w:r w:rsidRPr="008E537F">
        <w:rPr>
          <w:rFonts w:eastAsia="Times New Roman" w:cs="Times New Roman"/>
          <w:b/>
          <w:szCs w:val="24"/>
          <w:lang w:val="en-US"/>
        </w:rPr>
        <w:t xml:space="preserve"> </w:t>
      </w:r>
      <w:proofErr w:type="spellStart"/>
      <w:r w:rsidRPr="008E537F">
        <w:rPr>
          <w:rFonts w:eastAsia="Times New Roman" w:cs="Times New Roman"/>
          <w:b/>
          <w:szCs w:val="24"/>
          <w:lang w:val="en-US"/>
        </w:rPr>
        <w:t>dan</w:t>
      </w:r>
      <w:proofErr w:type="spellEnd"/>
      <w:r w:rsidRPr="008E537F">
        <w:rPr>
          <w:rFonts w:eastAsia="Times New Roman" w:cs="Times New Roman"/>
          <w:b/>
          <w:szCs w:val="24"/>
          <w:lang w:val="en-US"/>
        </w:rPr>
        <w:t xml:space="preserve"> </w:t>
      </w:r>
      <w:proofErr w:type="spellStart"/>
      <w:r w:rsidRPr="008E537F">
        <w:rPr>
          <w:rFonts w:eastAsia="Times New Roman" w:cs="Times New Roman"/>
          <w:b/>
          <w:szCs w:val="24"/>
          <w:lang w:val="en-US"/>
        </w:rPr>
        <w:t>Pembahasan</w:t>
      </w:r>
      <w:proofErr w:type="spellEnd"/>
    </w:p>
    <w:p w:rsidR="00A66D72" w:rsidRDefault="00B0474D" w:rsidP="00B0474D">
      <w:pPr>
        <w:pStyle w:val="ListParagraph"/>
        <w:numPr>
          <w:ilvl w:val="0"/>
          <w:numId w:val="2"/>
        </w:numPr>
        <w:spacing w:before="6" w:after="0" w:line="360" w:lineRule="auto"/>
        <w:ind w:right="4"/>
        <w:rPr>
          <w:rFonts w:eastAsia="Times New Roman" w:cs="Times New Roman"/>
          <w:szCs w:val="24"/>
          <w:lang w:val="en-US"/>
        </w:rPr>
      </w:pPr>
      <w:proofErr w:type="spellStart"/>
      <w:r w:rsidRPr="00B0474D">
        <w:rPr>
          <w:rFonts w:eastAsia="Times New Roman" w:cs="Times New Roman"/>
          <w:szCs w:val="24"/>
          <w:lang w:val="en-US"/>
        </w:rPr>
        <w:t>Karakteristik</w:t>
      </w:r>
      <w:proofErr w:type="spellEnd"/>
      <w:r w:rsidRPr="00B0474D">
        <w:rPr>
          <w:rFonts w:eastAsia="Times New Roman" w:cs="Times New Roman"/>
          <w:szCs w:val="24"/>
          <w:lang w:val="en-US"/>
        </w:rPr>
        <w:t xml:space="preserve"> </w:t>
      </w:r>
      <w:proofErr w:type="spellStart"/>
      <w:r w:rsidRPr="00B0474D">
        <w:rPr>
          <w:rFonts w:eastAsia="Times New Roman" w:cs="Times New Roman"/>
          <w:szCs w:val="24"/>
          <w:lang w:val="en-US"/>
        </w:rPr>
        <w:t>pasien</w:t>
      </w:r>
      <w:proofErr w:type="spellEnd"/>
      <w:r w:rsidRPr="00B0474D">
        <w:rPr>
          <w:rFonts w:eastAsia="Times New Roman" w:cs="Times New Roman"/>
          <w:szCs w:val="24"/>
          <w:lang w:val="en-US"/>
        </w:rPr>
        <w:t xml:space="preserve"> </w:t>
      </w:r>
      <w:proofErr w:type="spellStart"/>
      <w:r w:rsidRPr="00B0474D">
        <w:rPr>
          <w:rFonts w:eastAsia="Times New Roman" w:cs="Times New Roman"/>
          <w:szCs w:val="24"/>
          <w:lang w:val="en-US"/>
        </w:rPr>
        <w:t>berdasarkan</w:t>
      </w:r>
      <w:proofErr w:type="spellEnd"/>
      <w:r w:rsidRPr="00B0474D">
        <w:rPr>
          <w:rFonts w:eastAsia="Times New Roman" w:cs="Times New Roman"/>
          <w:szCs w:val="24"/>
          <w:lang w:val="en-US"/>
        </w:rPr>
        <w:t xml:space="preserve"> </w:t>
      </w:r>
      <w:proofErr w:type="spellStart"/>
      <w:r w:rsidRPr="00B0474D">
        <w:rPr>
          <w:rFonts w:eastAsia="Times New Roman" w:cs="Times New Roman"/>
          <w:szCs w:val="24"/>
          <w:lang w:val="en-US"/>
        </w:rPr>
        <w:t>usia</w:t>
      </w:r>
      <w:proofErr w:type="spellEnd"/>
    </w:p>
    <w:p w:rsidR="00B0474D" w:rsidRPr="00B0474D" w:rsidRDefault="00A66D72" w:rsidP="00A66D72">
      <w:pPr>
        <w:pStyle w:val="ListParagraph"/>
        <w:spacing w:before="6" w:after="0" w:line="360" w:lineRule="auto"/>
        <w:ind w:left="366" w:right="4"/>
        <w:jc w:val="center"/>
        <w:rPr>
          <w:rFonts w:eastAsia="Times New Roman" w:cs="Times New Roman"/>
          <w:szCs w:val="24"/>
          <w:lang w:val="en-US"/>
        </w:rPr>
      </w:pPr>
      <w:proofErr w:type="spellStart"/>
      <w:proofErr w:type="gramStart"/>
      <w:r>
        <w:rPr>
          <w:rFonts w:eastAsia="Times New Roman" w:cs="Times New Roman"/>
          <w:szCs w:val="24"/>
          <w:lang w:val="en-US"/>
        </w:rPr>
        <w:t>Tabel</w:t>
      </w:r>
      <w:proofErr w:type="spellEnd"/>
      <w:r>
        <w:rPr>
          <w:rFonts w:eastAsia="Times New Roman" w:cs="Times New Roman"/>
          <w:szCs w:val="24"/>
          <w:lang w:val="en-US"/>
        </w:rPr>
        <w:t xml:space="preserve"> 1.</w:t>
      </w:r>
      <w:proofErr w:type="gramEnd"/>
      <w:r>
        <w:rPr>
          <w:rFonts w:eastAsia="Times New Roman" w:cs="Times New Roman"/>
          <w:szCs w:val="24"/>
          <w:lang w:val="en-US"/>
        </w:rPr>
        <w:t xml:space="preserve"> </w:t>
      </w:r>
      <w:r w:rsidRPr="008C7ECD">
        <w:rPr>
          <w:szCs w:val="24"/>
        </w:rPr>
        <w:t>Karakteristik pasien Berdasarkan Jenis Kelamin</w:t>
      </w:r>
    </w:p>
    <w:tbl>
      <w:tblPr>
        <w:tblW w:w="7513" w:type="dxa"/>
        <w:jc w:val="center"/>
        <w:tblInd w:w="8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13"/>
        <w:gridCol w:w="1932"/>
        <w:gridCol w:w="2268"/>
      </w:tblGrid>
      <w:tr w:rsidR="00B0474D" w:rsidRPr="00605782" w:rsidTr="0000061F">
        <w:trPr>
          <w:trHeight w:val="315"/>
          <w:jc w:val="center"/>
        </w:trPr>
        <w:tc>
          <w:tcPr>
            <w:tcW w:w="3313" w:type="dxa"/>
            <w:shd w:val="clear" w:color="auto" w:fill="auto"/>
            <w:noWrap/>
            <w:vAlign w:val="bottom"/>
            <w:hideMark/>
          </w:tcPr>
          <w:p w:rsidR="00B0474D" w:rsidRPr="00B82F0F" w:rsidRDefault="00B0474D" w:rsidP="00720797">
            <w:pPr>
              <w:spacing w:after="0" w:line="240" w:lineRule="auto"/>
              <w:jc w:val="center"/>
              <w:rPr>
                <w:rFonts w:eastAsia="Times New Roman" w:cs="Times New Roman"/>
                <w:b/>
                <w:sz w:val="22"/>
                <w:lang w:val="en-US"/>
              </w:rPr>
            </w:pPr>
            <w:proofErr w:type="spellStart"/>
            <w:r w:rsidRPr="00B82F0F">
              <w:rPr>
                <w:rFonts w:eastAsia="Times New Roman" w:cs="Times New Roman"/>
                <w:b/>
                <w:sz w:val="22"/>
                <w:lang w:val="en-US"/>
              </w:rPr>
              <w:t>keterangan</w:t>
            </w:r>
            <w:proofErr w:type="spellEnd"/>
          </w:p>
        </w:tc>
        <w:tc>
          <w:tcPr>
            <w:tcW w:w="1932" w:type="dxa"/>
            <w:shd w:val="clear" w:color="auto" w:fill="auto"/>
            <w:noWrap/>
            <w:vAlign w:val="bottom"/>
            <w:hideMark/>
          </w:tcPr>
          <w:p w:rsidR="00B0474D" w:rsidRPr="00B82F0F" w:rsidRDefault="00B0474D" w:rsidP="00720797">
            <w:pPr>
              <w:spacing w:after="0" w:line="240" w:lineRule="auto"/>
              <w:jc w:val="center"/>
              <w:rPr>
                <w:rFonts w:eastAsia="Times New Roman" w:cs="Times New Roman"/>
                <w:b/>
                <w:sz w:val="22"/>
                <w:lang w:val="en-US"/>
              </w:rPr>
            </w:pPr>
            <w:proofErr w:type="spellStart"/>
            <w:r w:rsidRPr="00B82F0F">
              <w:rPr>
                <w:rFonts w:eastAsia="Times New Roman" w:cs="Times New Roman"/>
                <w:b/>
                <w:sz w:val="22"/>
                <w:lang w:val="en-US"/>
              </w:rPr>
              <w:t>jumlah</w:t>
            </w:r>
            <w:proofErr w:type="spellEnd"/>
          </w:p>
        </w:tc>
        <w:tc>
          <w:tcPr>
            <w:tcW w:w="2268" w:type="dxa"/>
            <w:shd w:val="clear" w:color="auto" w:fill="auto"/>
            <w:noWrap/>
            <w:vAlign w:val="bottom"/>
            <w:hideMark/>
          </w:tcPr>
          <w:p w:rsidR="00B0474D" w:rsidRPr="00B82F0F" w:rsidRDefault="00B0474D" w:rsidP="00720797">
            <w:pPr>
              <w:spacing w:after="0" w:line="240" w:lineRule="auto"/>
              <w:jc w:val="center"/>
              <w:rPr>
                <w:rFonts w:eastAsia="Times New Roman" w:cs="Times New Roman"/>
                <w:b/>
                <w:sz w:val="22"/>
                <w:lang w:val="en-US"/>
              </w:rPr>
            </w:pPr>
            <w:proofErr w:type="spellStart"/>
            <w:r w:rsidRPr="00B82F0F">
              <w:rPr>
                <w:rFonts w:eastAsia="Times New Roman" w:cs="Times New Roman"/>
                <w:b/>
                <w:sz w:val="22"/>
                <w:lang w:val="en-US"/>
              </w:rPr>
              <w:t>Persentase</w:t>
            </w:r>
            <w:proofErr w:type="spellEnd"/>
            <w:r>
              <w:rPr>
                <w:rFonts w:eastAsia="Times New Roman" w:cs="Times New Roman"/>
                <w:b/>
                <w:sz w:val="22"/>
                <w:lang w:val="en-US"/>
              </w:rPr>
              <w:t xml:space="preserve"> (%)</w:t>
            </w:r>
          </w:p>
        </w:tc>
      </w:tr>
      <w:tr w:rsidR="00B0474D" w:rsidRPr="00605782" w:rsidTr="0000061F">
        <w:trPr>
          <w:trHeight w:val="315"/>
          <w:jc w:val="center"/>
        </w:trPr>
        <w:tc>
          <w:tcPr>
            <w:tcW w:w="3313"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proofErr w:type="spellStart"/>
            <w:r>
              <w:rPr>
                <w:rFonts w:eastAsia="Times New Roman" w:cs="Times New Roman"/>
                <w:color w:val="000000"/>
                <w:sz w:val="22"/>
                <w:lang w:val="en-US"/>
              </w:rPr>
              <w:t>Laki-laki</w:t>
            </w:r>
            <w:proofErr w:type="spellEnd"/>
          </w:p>
        </w:tc>
        <w:tc>
          <w:tcPr>
            <w:tcW w:w="1932"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34</w:t>
            </w:r>
          </w:p>
        </w:tc>
        <w:tc>
          <w:tcPr>
            <w:tcW w:w="2268"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56,67</w:t>
            </w:r>
          </w:p>
        </w:tc>
      </w:tr>
      <w:tr w:rsidR="00B0474D" w:rsidRPr="00605782" w:rsidTr="0000061F">
        <w:trPr>
          <w:trHeight w:val="315"/>
          <w:jc w:val="center"/>
        </w:trPr>
        <w:tc>
          <w:tcPr>
            <w:tcW w:w="3313"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proofErr w:type="spellStart"/>
            <w:r w:rsidRPr="00605782">
              <w:rPr>
                <w:rFonts w:eastAsia="Times New Roman" w:cs="Times New Roman"/>
                <w:color w:val="000000"/>
                <w:sz w:val="22"/>
                <w:lang w:val="en-US"/>
              </w:rPr>
              <w:t>P</w:t>
            </w:r>
            <w:r>
              <w:rPr>
                <w:rFonts w:eastAsia="Times New Roman" w:cs="Times New Roman"/>
                <w:color w:val="000000"/>
                <w:sz w:val="22"/>
                <w:lang w:val="en-US"/>
              </w:rPr>
              <w:t>erempuan</w:t>
            </w:r>
            <w:proofErr w:type="spellEnd"/>
          </w:p>
        </w:tc>
        <w:tc>
          <w:tcPr>
            <w:tcW w:w="1932"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26</w:t>
            </w:r>
          </w:p>
        </w:tc>
        <w:tc>
          <w:tcPr>
            <w:tcW w:w="2268" w:type="dxa"/>
            <w:shd w:val="clear" w:color="auto" w:fill="auto"/>
            <w:noWrap/>
            <w:vAlign w:val="bottom"/>
            <w:hideMark/>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43,33</w:t>
            </w:r>
          </w:p>
        </w:tc>
      </w:tr>
      <w:tr w:rsidR="00B0474D" w:rsidRPr="00605782" w:rsidTr="0000061F">
        <w:trPr>
          <w:trHeight w:val="315"/>
          <w:jc w:val="center"/>
        </w:trPr>
        <w:tc>
          <w:tcPr>
            <w:tcW w:w="3313" w:type="dxa"/>
            <w:shd w:val="clear" w:color="auto" w:fill="auto"/>
            <w:noWrap/>
            <w:vAlign w:val="bottom"/>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1932" w:type="dxa"/>
            <w:shd w:val="clear" w:color="auto" w:fill="auto"/>
            <w:noWrap/>
            <w:vAlign w:val="bottom"/>
          </w:tcPr>
          <w:p w:rsidR="00B0474D" w:rsidRPr="00605782"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268" w:type="dxa"/>
            <w:shd w:val="clear" w:color="auto" w:fill="auto"/>
            <w:noWrap/>
            <w:vAlign w:val="bottom"/>
          </w:tcPr>
          <w:p w:rsidR="00B0474D" w:rsidRPr="00605782"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B0474D" w:rsidRDefault="00B0474D" w:rsidP="00B0474D">
      <w:pPr>
        <w:spacing w:before="6" w:after="0" w:line="360" w:lineRule="auto"/>
        <w:ind w:right="4"/>
        <w:rPr>
          <w:rFonts w:eastAsia="Times New Roman" w:cs="Times New Roman"/>
          <w:szCs w:val="24"/>
          <w:lang w:val="en-US"/>
        </w:rPr>
      </w:pPr>
    </w:p>
    <w:p w:rsidR="00B0474D" w:rsidRDefault="00B0474D" w:rsidP="00785CC3">
      <w:pPr>
        <w:spacing w:before="6" w:after="0" w:line="360" w:lineRule="auto"/>
        <w:ind w:left="2" w:right="4" w:firstLine="4"/>
        <w:rPr>
          <w:rFonts w:eastAsia="Times New Roman" w:cs="Times New Roman"/>
          <w:b/>
          <w:szCs w:val="24"/>
          <w:lang w:val="en-US"/>
        </w:rPr>
        <w:sectPr w:rsidR="00B0474D" w:rsidSect="00B0474D">
          <w:type w:val="continuous"/>
          <w:pgSz w:w="12240" w:h="15840"/>
          <w:pgMar w:top="1440" w:right="1440" w:bottom="1440" w:left="1440" w:header="708" w:footer="708" w:gutter="0"/>
          <w:cols w:space="708"/>
          <w:docGrid w:linePitch="360"/>
        </w:sectPr>
      </w:pPr>
    </w:p>
    <w:p w:rsidR="00B0474D" w:rsidRPr="008E537F" w:rsidRDefault="00B0474D" w:rsidP="00A66D72">
      <w:pPr>
        <w:pStyle w:val="ListParagraph"/>
        <w:spacing w:before="6" w:after="0" w:line="360" w:lineRule="auto"/>
        <w:ind w:left="366" w:right="4" w:firstLine="354"/>
        <w:rPr>
          <w:rFonts w:eastAsia="Times New Roman" w:cs="Times New Roman"/>
          <w:szCs w:val="24"/>
          <w:lang w:val="en-US"/>
        </w:rPr>
      </w:pPr>
      <w:r>
        <w:rPr>
          <w:lang w:val="en-US"/>
        </w:rPr>
        <w:lastRenderedPageBreak/>
        <w:t xml:space="preserve">Dari </w:t>
      </w:r>
      <w:proofErr w:type="spellStart"/>
      <w:r>
        <w:rPr>
          <w:lang w:val="en-US"/>
        </w:rPr>
        <w:t>tabel</w:t>
      </w:r>
      <w:proofErr w:type="spellEnd"/>
      <w:r w:rsidR="00A66D72">
        <w:rPr>
          <w:lang w:val="en-US"/>
        </w:rPr>
        <w:t xml:space="preserve"> 1, </w:t>
      </w:r>
      <w:proofErr w:type="spellStart"/>
      <w:r>
        <w:rPr>
          <w:lang w:val="en-US"/>
        </w:rPr>
        <w:t>menjelaskan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dari</w:t>
      </w:r>
      <w:proofErr w:type="spellEnd"/>
      <w:r>
        <w:rPr>
          <w:lang w:val="en-US"/>
        </w:rPr>
        <w:t xml:space="preserve"> 60 </w:t>
      </w:r>
      <w:proofErr w:type="spellStart"/>
      <w:r>
        <w:rPr>
          <w:lang w:val="en-US"/>
        </w:rPr>
        <w:t>pasien</w:t>
      </w:r>
      <w:proofErr w:type="spellEnd"/>
      <w:r>
        <w:rPr>
          <w:lang w:val="en-US"/>
        </w:rPr>
        <w:t xml:space="preserve"> </w:t>
      </w:r>
      <w:proofErr w:type="spellStart"/>
      <w:r>
        <w:rPr>
          <w:lang w:val="en-US"/>
        </w:rPr>
        <w:t>usia</w:t>
      </w:r>
      <w:proofErr w:type="spellEnd"/>
      <w:r>
        <w:rPr>
          <w:lang w:val="en-US"/>
        </w:rPr>
        <w:t xml:space="preserve"> 45 </w:t>
      </w:r>
      <w:proofErr w:type="spellStart"/>
      <w:r>
        <w:rPr>
          <w:lang w:val="en-US"/>
        </w:rPr>
        <w:t>hingga</w:t>
      </w:r>
      <w:proofErr w:type="spellEnd"/>
      <w:r>
        <w:rPr>
          <w:lang w:val="en-US"/>
        </w:rPr>
        <w:t xml:space="preserve"> 65 </w:t>
      </w:r>
      <w:proofErr w:type="spellStart"/>
      <w:r>
        <w:rPr>
          <w:lang w:val="en-US"/>
        </w:rPr>
        <w:t>tahun</w:t>
      </w:r>
      <w:proofErr w:type="spellEnd"/>
      <w:r>
        <w:rPr>
          <w:lang w:val="en-US"/>
        </w:rPr>
        <w:t xml:space="preserve"> yang </w:t>
      </w:r>
      <w:proofErr w:type="spellStart"/>
      <w:r>
        <w:rPr>
          <w:lang w:val="en-US"/>
        </w:rPr>
        <w:t>mendapatkan</w:t>
      </w:r>
      <w:proofErr w:type="spellEnd"/>
      <w:r>
        <w:rPr>
          <w:lang w:val="en-US"/>
        </w:rPr>
        <w:t xml:space="preserve"> </w:t>
      </w:r>
      <w:proofErr w:type="spellStart"/>
      <w:r>
        <w:rPr>
          <w:lang w:val="en-US"/>
        </w:rPr>
        <w:t>penanganan</w:t>
      </w:r>
      <w:proofErr w:type="spellEnd"/>
      <w:r>
        <w:rPr>
          <w:lang w:val="en-US"/>
        </w:rPr>
        <w:t xml:space="preserve"> di </w:t>
      </w:r>
      <w:proofErr w:type="spellStart"/>
      <w:r>
        <w:rPr>
          <w:lang w:val="en-US"/>
        </w:rPr>
        <w:t>instalasi</w:t>
      </w:r>
      <w:proofErr w:type="spellEnd"/>
      <w:r>
        <w:rPr>
          <w:lang w:val="en-US"/>
        </w:rPr>
        <w:t xml:space="preserve"> </w:t>
      </w:r>
      <w:proofErr w:type="spellStart"/>
      <w:r>
        <w:rPr>
          <w:lang w:val="en-US"/>
        </w:rPr>
        <w:t>gawat</w:t>
      </w:r>
      <w:proofErr w:type="spellEnd"/>
      <w:r>
        <w:rPr>
          <w:lang w:val="en-US"/>
        </w:rPr>
        <w:t xml:space="preserve"> </w:t>
      </w:r>
      <w:proofErr w:type="spellStart"/>
      <w:r>
        <w:rPr>
          <w:lang w:val="en-US"/>
        </w:rPr>
        <w:t>darurat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pengobatan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didominasi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berjenis</w:t>
      </w:r>
      <w:proofErr w:type="spellEnd"/>
      <w:r>
        <w:rPr>
          <w:lang w:val="en-US"/>
        </w:rPr>
        <w:t xml:space="preserve"> </w:t>
      </w:r>
      <w:proofErr w:type="spellStart"/>
      <w:r>
        <w:rPr>
          <w:lang w:val="en-US"/>
        </w:rPr>
        <w:t>kelamin</w:t>
      </w:r>
      <w:proofErr w:type="spellEnd"/>
      <w:r>
        <w:rPr>
          <w:lang w:val="en-US"/>
        </w:rPr>
        <w:t xml:space="preserve"> </w:t>
      </w:r>
      <w:proofErr w:type="spellStart"/>
      <w:r>
        <w:rPr>
          <w:lang w:val="en-US"/>
        </w:rPr>
        <w:t>laki-laki</w:t>
      </w:r>
      <w:proofErr w:type="spellEnd"/>
      <w:r>
        <w:rPr>
          <w:lang w:val="en-US"/>
        </w:rPr>
        <w:t xml:space="preserve"> </w:t>
      </w:r>
      <w:proofErr w:type="spellStart"/>
      <w:r>
        <w:rPr>
          <w:lang w:val="en-US"/>
        </w:rPr>
        <w:t>dengan</w:t>
      </w:r>
      <w:proofErr w:type="spellEnd"/>
      <w:r>
        <w:rPr>
          <w:lang w:val="en-US"/>
        </w:rPr>
        <w:t xml:space="preserve"> total 34 </w:t>
      </w:r>
      <w:proofErr w:type="spellStart"/>
      <w:r>
        <w:rPr>
          <w:lang w:val="en-US"/>
        </w:rPr>
        <w:t>pasien</w:t>
      </w:r>
      <w:proofErr w:type="spellEnd"/>
      <w:r>
        <w:rPr>
          <w:lang w:val="en-US"/>
        </w:rPr>
        <w:t xml:space="preserve"> (56,67%) </w:t>
      </w:r>
      <w:proofErr w:type="spellStart"/>
      <w:r>
        <w:rPr>
          <w:lang w:val="en-US"/>
        </w:rPr>
        <w:t>sedangkan</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berjenis</w:t>
      </w:r>
      <w:proofErr w:type="spellEnd"/>
      <w:r>
        <w:rPr>
          <w:lang w:val="en-US"/>
        </w:rPr>
        <w:t xml:space="preserve"> </w:t>
      </w:r>
      <w:proofErr w:type="spellStart"/>
      <w:r>
        <w:rPr>
          <w:lang w:val="en-US"/>
        </w:rPr>
        <w:t>kelamin</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berjumlah</w:t>
      </w:r>
      <w:proofErr w:type="spellEnd"/>
      <w:r>
        <w:rPr>
          <w:lang w:val="en-US"/>
        </w:rPr>
        <w:t xml:space="preserve"> 26 </w:t>
      </w:r>
      <w:proofErr w:type="spellStart"/>
      <w:r>
        <w:rPr>
          <w:lang w:val="en-US"/>
        </w:rPr>
        <w:t>pasien</w:t>
      </w:r>
      <w:proofErr w:type="spellEnd"/>
      <w:r>
        <w:rPr>
          <w:lang w:val="en-US"/>
        </w:rPr>
        <w:t xml:space="preserve"> (43,33%). </w:t>
      </w:r>
      <w:proofErr w:type="spellStart"/>
      <w:r>
        <w:rPr>
          <w:lang w:val="en-US"/>
        </w:rPr>
        <w:t>Tingginya</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laki-laki</w:t>
      </w:r>
      <w:proofErr w:type="spellEnd"/>
      <w:r>
        <w:rPr>
          <w:lang w:val="en-US"/>
        </w:rPr>
        <w:t xml:space="preserve"> yang </w:t>
      </w:r>
      <w:proofErr w:type="spellStart"/>
      <w:r>
        <w:rPr>
          <w:lang w:val="en-US"/>
        </w:rPr>
        <w:t>mendapatkan</w:t>
      </w:r>
      <w:proofErr w:type="spellEnd"/>
      <w:r>
        <w:rPr>
          <w:lang w:val="en-US"/>
        </w:rPr>
        <w:t xml:space="preserve"> </w:t>
      </w:r>
      <w:proofErr w:type="spellStart"/>
      <w:r>
        <w:rPr>
          <w:lang w:val="en-US"/>
        </w:rPr>
        <w:t>pengobatan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diakibatkan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wanita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imun</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laki-laki</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kadar</w:t>
      </w:r>
      <w:proofErr w:type="spellEnd"/>
      <w:r>
        <w:rPr>
          <w:lang w:val="en-US"/>
        </w:rPr>
        <w:t xml:space="preserve"> </w:t>
      </w:r>
      <w:proofErr w:type="spellStart"/>
      <w:r>
        <w:rPr>
          <w:lang w:val="en-US"/>
        </w:rPr>
        <w:t>imunoglobin</w:t>
      </w:r>
      <w:proofErr w:type="spellEnd"/>
      <w:r>
        <w:rPr>
          <w:lang w:val="en-US"/>
        </w:rPr>
        <w:t xml:space="preserve"> basal </w:t>
      </w:r>
      <w:proofErr w:type="spellStart"/>
      <w:r>
        <w:rPr>
          <w:lang w:val="en-US"/>
        </w:rPr>
        <w:t>dan</w:t>
      </w:r>
      <w:proofErr w:type="spellEnd"/>
      <w:r>
        <w:rPr>
          <w:lang w:val="en-US"/>
        </w:rPr>
        <w:t xml:space="preserve"> </w:t>
      </w:r>
      <w:proofErr w:type="spellStart"/>
      <w:r>
        <w:rPr>
          <w:lang w:val="en-US"/>
        </w:rPr>
        <w:t>jumlah</w:t>
      </w:r>
      <w:proofErr w:type="spellEnd"/>
      <w:r>
        <w:rPr>
          <w:lang w:val="en-US"/>
        </w:rPr>
        <w:t xml:space="preserve"> </w:t>
      </w:r>
      <w:proofErr w:type="spellStart"/>
      <w:r>
        <w:rPr>
          <w:lang w:val="en-US"/>
        </w:rPr>
        <w:t>sel</w:t>
      </w:r>
      <w:proofErr w:type="spellEnd"/>
      <w:r>
        <w:rPr>
          <w:lang w:val="en-US"/>
        </w:rPr>
        <w:t xml:space="preserve"> B yang </w:t>
      </w:r>
      <w:proofErr w:type="spellStart"/>
      <w:r>
        <w:rPr>
          <w:lang w:val="en-US"/>
        </w:rPr>
        <w:t>lebih</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pria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wanita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imunitas</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pria</w:t>
      </w:r>
      <w:proofErr w:type="spellEnd"/>
      <w:r>
        <w:rPr>
          <w:lang w:val="en-US"/>
        </w:rPr>
        <w:t xml:space="preserve"> </w:t>
      </w:r>
      <w:r>
        <w:rPr>
          <w:lang w:val="en-US"/>
        </w:rPr>
        <w:fldChar w:fldCharType="begin" w:fldLock="1"/>
      </w:r>
      <w:r>
        <w:rPr>
          <w:lang w:val="en-US"/>
        </w:rPr>
        <w:instrText>ADDIN CSL_CITATION {"citationItems":[{"id":"ITEM-1","itemData":{"DOI":"10.1016/j.cellimm.2011.10.009","ISSN":"00088749","PMID":"22078320","abstract":"Differences in gender immune response have resulted in differences in immune protection and susceptibility to inflammatory diseases. Cultured peripheral blood mononuclear cells (PBMC) are widely used in immunomodulation studies, yet the influence of gender is usually not considered. We examined the effect of in vitro culture and phytohaemagglutinin (PHA) stimulation on PBMC lymphocyte subsets using flowcytometry. Full blood counts of whole blood showed higher levels of lymphocyte in male subjects. Lymphocyte subsets enumeration revealed higher NK cell counts in males and higher B cells in females. Cultured PBMC resulted in significant increases in B and total T cell percentages among females and NK cells among males. PHA stimulated significantly increased percentages of NK and total T cells in males and total activated T cells (CD69+) in females. Our results showed significant gender differences in lymphocyte subsets in cultured conditions. This may affect experimental outcome. © 2011 Elsevier Inc.","author":[{"dropping-particle":"","family":"Abdullah","given":"Maha","non-dropping-particle":"","parse-names":false,"suffix":""},{"dropping-particle":"","family":"Chai","given":"Pei Shin","non-dropping-particle":"","parse-names":false,"suffix":""},{"dropping-particle":"","family":"Chong","given":"Mun Yee","non-dropping-particle":"","parse-names":false,"suffix":""},{"dropping-particle":"","family":"Tohit","given":"Eusni Rahayu Mohd","non-dropping-particle":"","parse-names":false,"suffix":""},{"dropping-particle":"","family":"Ramasamy","given":"Rajesh","non-dropping-particle":"","parse-names":false,"suffix":""},{"dropping-particle":"","family":"Pei","given":"Chong Pei","non-dropping-particle":"","parse-names":false,"suffix":""},{"dropping-particle":"","family":"Vidyadaran","given":"Sharmili","non-dropping-particle":"","parse-names":false,"suffix":""}],"container-title":"Cellular Immunology","id":"ITEM-1","issue":"2","issued":{"date-parts":[["2012"]]},"page":"214-219","publisher":"Elsevier Inc.","title":"Gender effect on in vitro lymphocyte subset levels of healthy individuals","type":"article-journal","volume":"272"},"uris":["http://www.mendeley.com/documents/?uuid=45db4f2d-c987-41d3-8c89-140578391227"]}],"mendeley":{"formattedCitation":"(Abdullah et al., 2012)","plainTextFormattedCitation":"(Abdullah et al., 2012)","previouslyFormattedCitation":"(Abdullah et al., 2012)"},"properties":{"noteIndex":0},"schema":"https://github.com/citation-style-language/schema/raw/master/csl-citation.json"}</w:instrText>
      </w:r>
      <w:r>
        <w:rPr>
          <w:lang w:val="en-US"/>
        </w:rPr>
        <w:fldChar w:fldCharType="separate"/>
      </w:r>
      <w:r w:rsidRPr="000240F3">
        <w:rPr>
          <w:noProof/>
          <w:lang w:val="en-US"/>
        </w:rPr>
        <w:t>(Abdullah et al., 2012)</w:t>
      </w:r>
      <w:r>
        <w:rPr>
          <w:lang w:val="en-US"/>
        </w:rPr>
        <w:fldChar w:fldCharType="end"/>
      </w:r>
    </w:p>
    <w:p w:rsidR="00B0474D" w:rsidRDefault="00B0474D" w:rsidP="00785CC3">
      <w:pPr>
        <w:spacing w:before="6" w:after="0" w:line="360" w:lineRule="auto"/>
        <w:ind w:left="2" w:right="4" w:firstLine="4"/>
        <w:rPr>
          <w:rFonts w:eastAsia="Times New Roman" w:cs="Times New Roman"/>
          <w:b/>
          <w:szCs w:val="24"/>
          <w:lang w:val="en-US"/>
        </w:rPr>
      </w:pPr>
    </w:p>
    <w:p w:rsidR="00B0474D" w:rsidRDefault="00B0474D" w:rsidP="00B0474D">
      <w:pPr>
        <w:pStyle w:val="ListParagraph"/>
        <w:numPr>
          <w:ilvl w:val="0"/>
          <w:numId w:val="2"/>
        </w:numPr>
        <w:rPr>
          <w:lang w:val="en-US"/>
        </w:rPr>
      </w:pPr>
      <w:bookmarkStart w:id="1" w:name="_Toc79056680"/>
      <w:proofErr w:type="spellStart"/>
      <w:r w:rsidRPr="00B0474D">
        <w:rPr>
          <w:lang w:val="en-US"/>
        </w:rPr>
        <w:lastRenderedPageBreak/>
        <w:t>Karakteristik</w:t>
      </w:r>
      <w:proofErr w:type="spellEnd"/>
      <w:r w:rsidRPr="00B0474D">
        <w:rPr>
          <w:lang w:val="en-US"/>
        </w:rPr>
        <w:t xml:space="preserve"> </w:t>
      </w:r>
      <w:proofErr w:type="spellStart"/>
      <w:r w:rsidRPr="00B0474D">
        <w:rPr>
          <w:lang w:val="en-US"/>
        </w:rPr>
        <w:t>Pasien</w:t>
      </w:r>
      <w:proofErr w:type="spellEnd"/>
      <w:r w:rsidRPr="00B0474D">
        <w:rPr>
          <w:lang w:val="en-US"/>
        </w:rPr>
        <w:t xml:space="preserve"> </w:t>
      </w:r>
      <w:proofErr w:type="spellStart"/>
      <w:r w:rsidRPr="00B0474D">
        <w:rPr>
          <w:lang w:val="en-US"/>
        </w:rPr>
        <w:t>Berdasarkan</w:t>
      </w:r>
      <w:proofErr w:type="spellEnd"/>
      <w:r w:rsidRPr="00B0474D">
        <w:rPr>
          <w:lang w:val="en-US"/>
        </w:rPr>
        <w:t xml:space="preserve"> </w:t>
      </w:r>
      <w:proofErr w:type="spellStart"/>
      <w:r w:rsidRPr="00B0474D">
        <w:rPr>
          <w:lang w:val="en-US"/>
        </w:rPr>
        <w:t>Usia</w:t>
      </w:r>
      <w:bookmarkEnd w:id="1"/>
      <w:proofErr w:type="spellEnd"/>
    </w:p>
    <w:p w:rsidR="00A66D72" w:rsidRPr="00B0474D" w:rsidRDefault="00A66D72" w:rsidP="00A66D72">
      <w:pPr>
        <w:pStyle w:val="ListParagraph"/>
        <w:ind w:left="366"/>
        <w:jc w:val="center"/>
        <w:rPr>
          <w:lang w:val="en-US"/>
        </w:rPr>
      </w:pPr>
      <w:proofErr w:type="spellStart"/>
      <w:proofErr w:type="gramStart"/>
      <w:r>
        <w:rPr>
          <w:lang w:val="en-US"/>
        </w:rPr>
        <w:t>Tabel</w:t>
      </w:r>
      <w:proofErr w:type="spellEnd"/>
      <w:r>
        <w:rPr>
          <w:lang w:val="en-US"/>
        </w:rPr>
        <w:t xml:space="preserve"> 2.</w:t>
      </w:r>
      <w:proofErr w:type="gramEnd"/>
      <w:r>
        <w:rPr>
          <w:lang w:val="en-US"/>
        </w:rPr>
        <w:t xml:space="preserve"> </w:t>
      </w:r>
      <w:r w:rsidRPr="008C7ECD">
        <w:rPr>
          <w:szCs w:val="24"/>
        </w:rPr>
        <w:t>Karakteristik Pasien Berdasarkan Usia</w:t>
      </w:r>
    </w:p>
    <w:tbl>
      <w:tblPr>
        <w:tblW w:w="7655" w:type="dxa"/>
        <w:tblInd w:w="8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56"/>
        <w:gridCol w:w="2489"/>
        <w:gridCol w:w="2410"/>
      </w:tblGrid>
      <w:tr w:rsidR="00B0474D" w:rsidRPr="00B51A58" w:rsidTr="00720797">
        <w:trPr>
          <w:trHeight w:val="300"/>
        </w:trPr>
        <w:tc>
          <w:tcPr>
            <w:tcW w:w="2756" w:type="dxa"/>
            <w:shd w:val="clear" w:color="auto" w:fill="auto"/>
            <w:noWrap/>
            <w:vAlign w:val="center"/>
            <w:hideMark/>
          </w:tcPr>
          <w:p w:rsidR="00B0474D" w:rsidRPr="001E552E" w:rsidRDefault="00B0474D"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Umur</w:t>
            </w:r>
            <w:proofErr w:type="spellEnd"/>
          </w:p>
        </w:tc>
        <w:tc>
          <w:tcPr>
            <w:tcW w:w="2489" w:type="dxa"/>
            <w:shd w:val="clear" w:color="auto" w:fill="auto"/>
            <w:noWrap/>
            <w:vAlign w:val="center"/>
            <w:hideMark/>
          </w:tcPr>
          <w:p w:rsidR="00B0474D" w:rsidRPr="001E552E" w:rsidRDefault="00B0474D"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Jumlah</w:t>
            </w:r>
            <w:proofErr w:type="spellEnd"/>
          </w:p>
        </w:tc>
        <w:tc>
          <w:tcPr>
            <w:tcW w:w="2410" w:type="dxa"/>
            <w:shd w:val="clear" w:color="auto" w:fill="auto"/>
            <w:noWrap/>
            <w:vAlign w:val="center"/>
            <w:hideMark/>
          </w:tcPr>
          <w:p w:rsidR="00B0474D" w:rsidRPr="001E552E" w:rsidRDefault="00B0474D"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Persentase</w:t>
            </w:r>
            <w:proofErr w:type="spellEnd"/>
            <w:r>
              <w:rPr>
                <w:rFonts w:eastAsia="Times New Roman" w:cs="Times New Roman"/>
                <w:b/>
                <w:color w:val="000000"/>
                <w:sz w:val="22"/>
                <w:lang w:val="en-US"/>
              </w:rPr>
              <w:t xml:space="preserve"> (%)</w:t>
            </w:r>
          </w:p>
        </w:tc>
      </w:tr>
      <w:tr w:rsidR="00B0474D" w:rsidRPr="00B51A58" w:rsidTr="00720797">
        <w:trPr>
          <w:trHeight w:val="315"/>
        </w:trPr>
        <w:tc>
          <w:tcPr>
            <w:tcW w:w="2756"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45</w:t>
            </w:r>
            <w:r w:rsidRPr="00B51A58">
              <w:rPr>
                <w:rFonts w:eastAsia="Times New Roman" w:cs="Times New Roman"/>
                <w:color w:val="000000"/>
                <w:sz w:val="22"/>
                <w:lang w:val="en-US"/>
              </w:rPr>
              <w:t>-55</w:t>
            </w:r>
          </w:p>
        </w:tc>
        <w:tc>
          <w:tcPr>
            <w:tcW w:w="2489"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38</w:t>
            </w:r>
          </w:p>
        </w:tc>
        <w:tc>
          <w:tcPr>
            <w:tcW w:w="2410"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66,33</w:t>
            </w:r>
          </w:p>
        </w:tc>
      </w:tr>
      <w:tr w:rsidR="00B0474D" w:rsidRPr="00B51A58" w:rsidTr="00720797">
        <w:trPr>
          <w:trHeight w:val="315"/>
        </w:trPr>
        <w:tc>
          <w:tcPr>
            <w:tcW w:w="2756"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56-65</w:t>
            </w:r>
          </w:p>
        </w:tc>
        <w:tc>
          <w:tcPr>
            <w:tcW w:w="2489"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22</w:t>
            </w:r>
          </w:p>
        </w:tc>
        <w:tc>
          <w:tcPr>
            <w:tcW w:w="2410" w:type="dxa"/>
            <w:shd w:val="clear" w:color="auto" w:fill="auto"/>
            <w:noWrap/>
            <w:vAlign w:val="center"/>
            <w:hideMark/>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36,67</w:t>
            </w:r>
          </w:p>
        </w:tc>
      </w:tr>
      <w:tr w:rsidR="00B0474D" w:rsidRPr="00B51A58" w:rsidTr="00720797">
        <w:trPr>
          <w:trHeight w:val="315"/>
        </w:trPr>
        <w:tc>
          <w:tcPr>
            <w:tcW w:w="2756" w:type="dxa"/>
            <w:shd w:val="clear" w:color="auto" w:fill="auto"/>
            <w:noWrap/>
            <w:vAlign w:val="center"/>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2489" w:type="dxa"/>
            <w:shd w:val="clear" w:color="auto" w:fill="auto"/>
            <w:noWrap/>
            <w:vAlign w:val="center"/>
          </w:tcPr>
          <w:p w:rsidR="00B0474D" w:rsidRPr="00B51A58"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410" w:type="dxa"/>
            <w:shd w:val="clear" w:color="auto" w:fill="auto"/>
            <w:noWrap/>
            <w:vAlign w:val="center"/>
          </w:tcPr>
          <w:p w:rsidR="00B0474D" w:rsidRPr="00B51A58" w:rsidRDefault="00B0474D"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B0474D" w:rsidRPr="00B0474D" w:rsidRDefault="00B0474D" w:rsidP="00B0474D">
      <w:pPr>
        <w:spacing w:before="6" w:after="0" w:line="360" w:lineRule="auto"/>
        <w:ind w:right="4"/>
        <w:rPr>
          <w:rFonts w:eastAsia="Times New Roman" w:cs="Times New Roman"/>
          <w:b/>
          <w:szCs w:val="24"/>
          <w:lang w:val="en-US"/>
        </w:rPr>
        <w:sectPr w:rsidR="00B0474D" w:rsidRPr="00B0474D" w:rsidSect="00B0474D">
          <w:type w:val="continuous"/>
          <w:pgSz w:w="12240" w:h="15840"/>
          <w:pgMar w:top="1440" w:right="1440" w:bottom="1440" w:left="1440" w:header="708" w:footer="708" w:gutter="0"/>
          <w:cols w:space="708"/>
          <w:docGrid w:linePitch="360"/>
        </w:sectPr>
      </w:pPr>
    </w:p>
    <w:p w:rsidR="00AB2E19" w:rsidRDefault="00AB2E19" w:rsidP="00785CC3">
      <w:pPr>
        <w:spacing w:before="6" w:after="0" w:line="360" w:lineRule="auto"/>
        <w:ind w:left="2" w:right="4" w:firstLine="4"/>
        <w:rPr>
          <w:lang w:val="en-US"/>
        </w:rPr>
      </w:pPr>
    </w:p>
    <w:p w:rsidR="00B0474D" w:rsidRDefault="00A66D72" w:rsidP="0000061F">
      <w:pPr>
        <w:spacing w:before="6" w:after="0" w:line="360" w:lineRule="auto"/>
        <w:ind w:left="426" w:right="4" w:firstLine="364"/>
        <w:rPr>
          <w:lang w:val="en-US"/>
        </w:rPr>
      </w:pPr>
      <w:r>
        <w:rPr>
          <w:lang w:val="en-US"/>
        </w:rPr>
        <w:t xml:space="preserve">Dari </w:t>
      </w:r>
      <w:proofErr w:type="spellStart"/>
      <w:r>
        <w:rPr>
          <w:lang w:val="en-US"/>
        </w:rPr>
        <w:t>tabel</w:t>
      </w:r>
      <w:proofErr w:type="spellEnd"/>
      <w:r>
        <w:rPr>
          <w:lang w:val="en-US"/>
        </w:rPr>
        <w:t xml:space="preserve"> 2, </w:t>
      </w:r>
      <w:proofErr w:type="spellStart"/>
      <w:r>
        <w:rPr>
          <w:lang w:val="en-US"/>
        </w:rPr>
        <w:t>dapat</w:t>
      </w:r>
      <w:proofErr w:type="spellEnd"/>
      <w:r>
        <w:rPr>
          <w:lang w:val="en-US"/>
        </w:rPr>
        <w:t xml:space="preserve"> </w:t>
      </w:r>
      <w:proofErr w:type="spellStart"/>
      <w:r w:rsidR="00B0474D">
        <w:rPr>
          <w:lang w:val="en-US"/>
        </w:rPr>
        <w:t>dilihat</w:t>
      </w:r>
      <w:proofErr w:type="spellEnd"/>
      <w:r w:rsidR="00B0474D">
        <w:rPr>
          <w:lang w:val="en-US"/>
        </w:rPr>
        <w:t xml:space="preserve"> </w:t>
      </w:r>
      <w:proofErr w:type="spellStart"/>
      <w:r w:rsidR="00B0474D">
        <w:rPr>
          <w:lang w:val="en-US"/>
        </w:rPr>
        <w:t>bahwa</w:t>
      </w:r>
      <w:proofErr w:type="spellEnd"/>
      <w:r w:rsidR="00B0474D">
        <w:rPr>
          <w:lang w:val="en-US"/>
        </w:rPr>
        <w:t xml:space="preserve"> </w:t>
      </w:r>
      <w:proofErr w:type="spellStart"/>
      <w:r w:rsidR="00B0474D">
        <w:rPr>
          <w:lang w:val="en-US"/>
        </w:rPr>
        <w:t>kelompok</w:t>
      </w:r>
      <w:proofErr w:type="spellEnd"/>
      <w:r w:rsidR="00B0474D">
        <w:rPr>
          <w:lang w:val="en-US"/>
        </w:rPr>
        <w:t xml:space="preserve"> </w:t>
      </w:r>
      <w:proofErr w:type="spellStart"/>
      <w:r w:rsidR="00B0474D">
        <w:rPr>
          <w:lang w:val="en-US"/>
        </w:rPr>
        <w:t>pasien</w:t>
      </w:r>
      <w:proofErr w:type="spellEnd"/>
      <w:r w:rsidR="00B0474D">
        <w:rPr>
          <w:lang w:val="en-US"/>
        </w:rPr>
        <w:t xml:space="preserve"> </w:t>
      </w:r>
      <w:proofErr w:type="spellStart"/>
      <w:r w:rsidR="00B0474D">
        <w:rPr>
          <w:lang w:val="en-US"/>
        </w:rPr>
        <w:t>berusia</w:t>
      </w:r>
      <w:proofErr w:type="spellEnd"/>
      <w:r w:rsidR="00B0474D">
        <w:rPr>
          <w:lang w:val="en-US"/>
        </w:rPr>
        <w:t xml:space="preserve"> 45-65 </w:t>
      </w:r>
      <w:proofErr w:type="spellStart"/>
      <w:r w:rsidR="00B0474D">
        <w:rPr>
          <w:lang w:val="en-US"/>
        </w:rPr>
        <w:t>tahun</w:t>
      </w:r>
      <w:proofErr w:type="spellEnd"/>
      <w:r w:rsidR="00B0474D">
        <w:rPr>
          <w:lang w:val="en-US"/>
        </w:rPr>
        <w:t xml:space="preserve"> </w:t>
      </w:r>
      <w:proofErr w:type="spellStart"/>
      <w:r w:rsidR="00B0474D">
        <w:rPr>
          <w:lang w:val="en-US"/>
        </w:rPr>
        <w:t>merupakan</w:t>
      </w:r>
      <w:proofErr w:type="spellEnd"/>
      <w:r w:rsidR="00B0474D">
        <w:rPr>
          <w:lang w:val="en-US"/>
        </w:rPr>
        <w:t xml:space="preserve"> </w:t>
      </w:r>
      <w:proofErr w:type="spellStart"/>
      <w:r w:rsidR="00B0474D">
        <w:rPr>
          <w:lang w:val="en-US"/>
        </w:rPr>
        <w:t>kelompok</w:t>
      </w:r>
      <w:proofErr w:type="spellEnd"/>
      <w:r w:rsidR="00B0474D">
        <w:rPr>
          <w:lang w:val="en-US"/>
        </w:rPr>
        <w:t xml:space="preserve"> </w:t>
      </w:r>
      <w:proofErr w:type="spellStart"/>
      <w:r w:rsidR="00B0474D">
        <w:rPr>
          <w:lang w:val="en-US"/>
        </w:rPr>
        <w:t>usia</w:t>
      </w:r>
      <w:proofErr w:type="spellEnd"/>
      <w:r w:rsidR="00B0474D">
        <w:rPr>
          <w:lang w:val="en-US"/>
        </w:rPr>
        <w:t xml:space="preserve"> </w:t>
      </w:r>
      <w:proofErr w:type="spellStart"/>
      <w:r w:rsidR="00B0474D">
        <w:rPr>
          <w:lang w:val="en-US"/>
        </w:rPr>
        <w:t>dengan</w:t>
      </w:r>
      <w:proofErr w:type="spellEnd"/>
      <w:r w:rsidR="00B0474D">
        <w:rPr>
          <w:lang w:val="en-US"/>
        </w:rPr>
        <w:t xml:space="preserve"> </w:t>
      </w:r>
      <w:proofErr w:type="spellStart"/>
      <w:r w:rsidR="00B0474D">
        <w:rPr>
          <w:lang w:val="en-US"/>
        </w:rPr>
        <w:t>jumlah</w:t>
      </w:r>
      <w:proofErr w:type="spellEnd"/>
      <w:r w:rsidR="00B0474D">
        <w:rPr>
          <w:lang w:val="en-US"/>
        </w:rPr>
        <w:t xml:space="preserve"> </w:t>
      </w:r>
      <w:proofErr w:type="spellStart"/>
      <w:r w:rsidR="00B0474D">
        <w:rPr>
          <w:lang w:val="en-US"/>
        </w:rPr>
        <w:t>pasien</w:t>
      </w:r>
      <w:proofErr w:type="spellEnd"/>
      <w:r w:rsidR="00B0474D">
        <w:rPr>
          <w:lang w:val="en-US"/>
        </w:rPr>
        <w:t xml:space="preserve"> </w:t>
      </w:r>
      <w:proofErr w:type="spellStart"/>
      <w:r w:rsidR="00B0474D">
        <w:rPr>
          <w:lang w:val="en-US"/>
        </w:rPr>
        <w:t>terbanyak</w:t>
      </w:r>
      <w:proofErr w:type="spellEnd"/>
      <w:r w:rsidR="00B0474D">
        <w:rPr>
          <w:lang w:val="en-US"/>
        </w:rPr>
        <w:t xml:space="preserve"> </w:t>
      </w:r>
      <w:proofErr w:type="spellStart"/>
      <w:r w:rsidR="00B0474D">
        <w:rPr>
          <w:lang w:val="en-US"/>
        </w:rPr>
        <w:t>dengan</w:t>
      </w:r>
      <w:proofErr w:type="spellEnd"/>
      <w:r w:rsidR="00B0474D">
        <w:rPr>
          <w:lang w:val="en-US"/>
        </w:rPr>
        <w:t xml:space="preserve"> </w:t>
      </w:r>
      <w:proofErr w:type="spellStart"/>
      <w:r w:rsidR="00B0474D">
        <w:rPr>
          <w:lang w:val="en-US"/>
        </w:rPr>
        <w:t>jumlah</w:t>
      </w:r>
      <w:proofErr w:type="spellEnd"/>
      <w:r w:rsidR="00B0474D">
        <w:rPr>
          <w:lang w:val="en-US"/>
        </w:rPr>
        <w:t xml:space="preserve"> 38 </w:t>
      </w:r>
      <w:proofErr w:type="spellStart"/>
      <w:r w:rsidR="00B0474D">
        <w:rPr>
          <w:lang w:val="en-US"/>
        </w:rPr>
        <w:t>pasien</w:t>
      </w:r>
      <w:proofErr w:type="spellEnd"/>
      <w:r w:rsidR="00B0474D">
        <w:rPr>
          <w:lang w:val="en-US"/>
        </w:rPr>
        <w:t xml:space="preserve"> (66,63%), </w:t>
      </w:r>
      <w:proofErr w:type="spellStart"/>
      <w:r w:rsidR="00B0474D">
        <w:rPr>
          <w:lang w:val="en-US"/>
        </w:rPr>
        <w:t>sedangkan</w:t>
      </w:r>
      <w:proofErr w:type="spellEnd"/>
      <w:r w:rsidR="00B0474D">
        <w:rPr>
          <w:lang w:val="en-US"/>
        </w:rPr>
        <w:t xml:space="preserve"> </w:t>
      </w:r>
      <w:proofErr w:type="spellStart"/>
      <w:r w:rsidR="00B0474D">
        <w:rPr>
          <w:lang w:val="en-US"/>
        </w:rPr>
        <w:t>kelompok</w:t>
      </w:r>
      <w:proofErr w:type="spellEnd"/>
      <w:r w:rsidR="00B0474D">
        <w:rPr>
          <w:lang w:val="en-US"/>
        </w:rPr>
        <w:t xml:space="preserve"> </w:t>
      </w:r>
      <w:proofErr w:type="spellStart"/>
      <w:r w:rsidR="00B0474D">
        <w:rPr>
          <w:lang w:val="en-US"/>
        </w:rPr>
        <w:t>usia</w:t>
      </w:r>
      <w:proofErr w:type="spellEnd"/>
      <w:r w:rsidR="00B0474D">
        <w:rPr>
          <w:lang w:val="en-US"/>
        </w:rPr>
        <w:t xml:space="preserve"> 56-65 </w:t>
      </w:r>
      <w:proofErr w:type="spellStart"/>
      <w:r w:rsidR="00B0474D">
        <w:rPr>
          <w:lang w:val="en-US"/>
        </w:rPr>
        <w:t>tahun</w:t>
      </w:r>
      <w:proofErr w:type="spellEnd"/>
      <w:r w:rsidR="00B0474D">
        <w:rPr>
          <w:lang w:val="en-US"/>
        </w:rPr>
        <w:t xml:space="preserve"> </w:t>
      </w:r>
      <w:proofErr w:type="spellStart"/>
      <w:r w:rsidR="00B0474D">
        <w:rPr>
          <w:lang w:val="en-US"/>
        </w:rPr>
        <w:t>berjumlah</w:t>
      </w:r>
      <w:proofErr w:type="spellEnd"/>
      <w:r w:rsidR="00B0474D">
        <w:rPr>
          <w:lang w:val="en-US"/>
        </w:rPr>
        <w:t xml:space="preserve"> 22 orang (36,67%). Dari </w:t>
      </w:r>
      <w:proofErr w:type="spellStart"/>
      <w:r w:rsidR="00B0474D">
        <w:rPr>
          <w:lang w:val="en-US"/>
        </w:rPr>
        <w:t>hasil</w:t>
      </w:r>
      <w:proofErr w:type="spellEnd"/>
      <w:r w:rsidR="00B0474D">
        <w:rPr>
          <w:lang w:val="en-US"/>
        </w:rPr>
        <w:t xml:space="preserve"> </w:t>
      </w:r>
      <w:proofErr w:type="spellStart"/>
      <w:r w:rsidR="00B0474D">
        <w:rPr>
          <w:lang w:val="en-US"/>
        </w:rPr>
        <w:t>tersebut</w:t>
      </w:r>
      <w:proofErr w:type="spellEnd"/>
      <w:r w:rsidR="00B0474D">
        <w:rPr>
          <w:lang w:val="en-US"/>
        </w:rPr>
        <w:t xml:space="preserve"> </w:t>
      </w:r>
      <w:proofErr w:type="spellStart"/>
      <w:r w:rsidR="00B0474D">
        <w:rPr>
          <w:lang w:val="en-US"/>
        </w:rPr>
        <w:t>menunjukan</w:t>
      </w:r>
      <w:proofErr w:type="spellEnd"/>
      <w:r w:rsidR="00B0474D">
        <w:rPr>
          <w:lang w:val="en-US"/>
        </w:rPr>
        <w:t xml:space="preserve"> </w:t>
      </w:r>
      <w:proofErr w:type="spellStart"/>
      <w:r w:rsidR="00B0474D">
        <w:rPr>
          <w:lang w:val="en-US"/>
        </w:rPr>
        <w:t>adanya</w:t>
      </w:r>
      <w:proofErr w:type="spellEnd"/>
      <w:r w:rsidR="00B0474D">
        <w:rPr>
          <w:lang w:val="en-US"/>
        </w:rPr>
        <w:t xml:space="preserve"> </w:t>
      </w:r>
      <w:proofErr w:type="spellStart"/>
      <w:r w:rsidR="00B0474D">
        <w:rPr>
          <w:lang w:val="en-US"/>
        </w:rPr>
        <w:t>penurunan</w:t>
      </w:r>
      <w:proofErr w:type="spellEnd"/>
      <w:r w:rsidR="00B0474D">
        <w:rPr>
          <w:lang w:val="en-US"/>
        </w:rPr>
        <w:t xml:space="preserve"> </w:t>
      </w:r>
      <w:proofErr w:type="spellStart"/>
      <w:r w:rsidR="00B0474D">
        <w:rPr>
          <w:lang w:val="en-US"/>
        </w:rPr>
        <w:t>kualitas</w:t>
      </w:r>
      <w:proofErr w:type="spellEnd"/>
      <w:r w:rsidR="00B0474D">
        <w:rPr>
          <w:lang w:val="en-US"/>
        </w:rPr>
        <w:t xml:space="preserve"> </w:t>
      </w:r>
      <w:proofErr w:type="spellStart"/>
      <w:r w:rsidR="00B0474D">
        <w:rPr>
          <w:lang w:val="en-US"/>
        </w:rPr>
        <w:t>hidup</w:t>
      </w:r>
      <w:proofErr w:type="spellEnd"/>
      <w:r w:rsidR="00B0474D">
        <w:rPr>
          <w:lang w:val="en-US"/>
        </w:rPr>
        <w:t xml:space="preserve"> </w:t>
      </w:r>
      <w:proofErr w:type="spellStart"/>
      <w:r w:rsidR="00B0474D">
        <w:rPr>
          <w:lang w:val="en-US"/>
        </w:rPr>
        <w:t>masyarakat</w:t>
      </w:r>
      <w:proofErr w:type="spellEnd"/>
      <w:r w:rsidR="00B0474D">
        <w:rPr>
          <w:lang w:val="en-US"/>
        </w:rPr>
        <w:t xml:space="preserve"> </w:t>
      </w:r>
      <w:proofErr w:type="spellStart"/>
      <w:r w:rsidR="00B0474D">
        <w:rPr>
          <w:lang w:val="en-US"/>
        </w:rPr>
        <w:t>sehingga</w:t>
      </w:r>
      <w:proofErr w:type="spellEnd"/>
      <w:r w:rsidR="00B0474D">
        <w:rPr>
          <w:lang w:val="en-US"/>
        </w:rPr>
        <w:t xml:space="preserve"> </w:t>
      </w:r>
      <w:proofErr w:type="spellStart"/>
      <w:r w:rsidR="00B0474D">
        <w:rPr>
          <w:lang w:val="en-US"/>
        </w:rPr>
        <w:t>pasien</w:t>
      </w:r>
      <w:proofErr w:type="spellEnd"/>
      <w:r w:rsidR="00B0474D">
        <w:rPr>
          <w:lang w:val="en-US"/>
        </w:rPr>
        <w:t xml:space="preserve">  </w:t>
      </w:r>
      <w:proofErr w:type="spellStart"/>
      <w:r w:rsidR="00B0474D">
        <w:rPr>
          <w:lang w:val="en-US"/>
        </w:rPr>
        <w:t>kategori</w:t>
      </w:r>
      <w:proofErr w:type="spellEnd"/>
      <w:r w:rsidR="00B0474D">
        <w:rPr>
          <w:lang w:val="en-US"/>
        </w:rPr>
        <w:t xml:space="preserve"> </w:t>
      </w:r>
      <w:proofErr w:type="spellStart"/>
      <w:r w:rsidR="00B0474D">
        <w:rPr>
          <w:lang w:val="en-US"/>
        </w:rPr>
        <w:t>lansia</w:t>
      </w:r>
      <w:proofErr w:type="spellEnd"/>
      <w:r w:rsidR="00B0474D">
        <w:rPr>
          <w:lang w:val="en-US"/>
        </w:rPr>
        <w:t xml:space="preserve"> </w:t>
      </w:r>
      <w:proofErr w:type="spellStart"/>
      <w:r w:rsidR="00B0474D">
        <w:rPr>
          <w:lang w:val="en-US"/>
        </w:rPr>
        <w:t>awal</w:t>
      </w:r>
      <w:proofErr w:type="spellEnd"/>
      <w:r w:rsidR="00B0474D">
        <w:rPr>
          <w:lang w:val="en-US"/>
        </w:rPr>
        <w:t xml:space="preserve"> </w:t>
      </w:r>
      <w:proofErr w:type="spellStart"/>
      <w:r w:rsidR="00B0474D">
        <w:rPr>
          <w:lang w:val="en-US"/>
        </w:rPr>
        <w:t>lebih</w:t>
      </w:r>
      <w:proofErr w:type="spellEnd"/>
      <w:r w:rsidR="00B0474D">
        <w:rPr>
          <w:lang w:val="en-US"/>
        </w:rPr>
        <w:t xml:space="preserve"> </w:t>
      </w:r>
      <w:proofErr w:type="spellStart"/>
      <w:r w:rsidR="00B0474D">
        <w:rPr>
          <w:lang w:val="en-US"/>
        </w:rPr>
        <w:t>sering</w:t>
      </w:r>
      <w:proofErr w:type="spellEnd"/>
      <w:r w:rsidR="00B0474D">
        <w:rPr>
          <w:lang w:val="en-US"/>
        </w:rPr>
        <w:t xml:space="preserve"> </w:t>
      </w:r>
      <w:proofErr w:type="spellStart"/>
      <w:r w:rsidR="00B0474D">
        <w:rPr>
          <w:lang w:val="en-US"/>
        </w:rPr>
        <w:t>mendatangi</w:t>
      </w:r>
      <w:proofErr w:type="spellEnd"/>
      <w:r w:rsidR="00B0474D">
        <w:rPr>
          <w:lang w:val="en-US"/>
        </w:rPr>
        <w:t xml:space="preserve"> </w:t>
      </w:r>
      <w:proofErr w:type="spellStart"/>
      <w:r w:rsidR="00B0474D">
        <w:rPr>
          <w:lang w:val="en-US"/>
        </w:rPr>
        <w:t>rumah</w:t>
      </w:r>
      <w:proofErr w:type="spellEnd"/>
      <w:r w:rsidR="00B0474D">
        <w:rPr>
          <w:lang w:val="en-US"/>
        </w:rPr>
        <w:t xml:space="preserve"> </w:t>
      </w:r>
      <w:proofErr w:type="spellStart"/>
      <w:r w:rsidR="00B0474D">
        <w:rPr>
          <w:lang w:val="en-US"/>
        </w:rPr>
        <w:t>sakit</w:t>
      </w:r>
      <w:proofErr w:type="spellEnd"/>
      <w:r w:rsidR="00B0474D">
        <w:rPr>
          <w:lang w:val="en-US"/>
        </w:rPr>
        <w:t xml:space="preserve"> </w:t>
      </w:r>
      <w:proofErr w:type="spellStart"/>
      <w:r w:rsidR="00B0474D">
        <w:rPr>
          <w:lang w:val="en-US"/>
        </w:rPr>
        <w:t>untuk</w:t>
      </w:r>
      <w:proofErr w:type="spellEnd"/>
      <w:r w:rsidR="00B0474D">
        <w:rPr>
          <w:lang w:val="en-US"/>
        </w:rPr>
        <w:t xml:space="preserve"> </w:t>
      </w:r>
      <w:proofErr w:type="spellStart"/>
      <w:r w:rsidR="00B0474D">
        <w:rPr>
          <w:lang w:val="en-US"/>
        </w:rPr>
        <w:t>melakukan</w:t>
      </w:r>
      <w:proofErr w:type="spellEnd"/>
      <w:r w:rsidR="00B0474D">
        <w:rPr>
          <w:lang w:val="en-US"/>
        </w:rPr>
        <w:t xml:space="preserve"> </w:t>
      </w:r>
      <w:proofErr w:type="spellStart"/>
      <w:r w:rsidR="00B0474D">
        <w:rPr>
          <w:lang w:val="en-US"/>
        </w:rPr>
        <w:t>pengobatan.</w:t>
      </w:r>
      <w:r w:rsidR="00AB2E19">
        <w:rPr>
          <w:lang w:val="en-US"/>
        </w:rPr>
        <w:t>penyebab</w:t>
      </w:r>
      <w:proofErr w:type="spellEnd"/>
      <w:r w:rsidR="00AB2E19">
        <w:rPr>
          <w:lang w:val="en-US"/>
        </w:rPr>
        <w:t xml:space="preserve"> </w:t>
      </w:r>
      <w:proofErr w:type="spellStart"/>
      <w:r w:rsidR="00AB2E19">
        <w:rPr>
          <w:lang w:val="en-US"/>
        </w:rPr>
        <w:t>menurunnya</w:t>
      </w:r>
      <w:proofErr w:type="spellEnd"/>
      <w:r w:rsidR="00AB2E19">
        <w:rPr>
          <w:lang w:val="en-US"/>
        </w:rPr>
        <w:t xml:space="preserve"> </w:t>
      </w:r>
      <w:proofErr w:type="spellStart"/>
      <w:r w:rsidR="00AB2E19">
        <w:rPr>
          <w:lang w:val="en-US"/>
        </w:rPr>
        <w:t>kualitas</w:t>
      </w:r>
      <w:proofErr w:type="spellEnd"/>
      <w:r w:rsidR="00AB2E19">
        <w:rPr>
          <w:lang w:val="en-US"/>
        </w:rPr>
        <w:t xml:space="preserve"> </w:t>
      </w:r>
      <w:proofErr w:type="spellStart"/>
      <w:r w:rsidR="00AB2E19">
        <w:rPr>
          <w:lang w:val="en-US"/>
        </w:rPr>
        <w:t>hidup</w:t>
      </w:r>
      <w:proofErr w:type="spellEnd"/>
      <w:r w:rsidR="00AB2E19">
        <w:rPr>
          <w:lang w:val="en-US"/>
        </w:rPr>
        <w:t xml:space="preserve"> </w:t>
      </w:r>
      <w:proofErr w:type="spellStart"/>
      <w:r w:rsidR="00AB2E19">
        <w:rPr>
          <w:lang w:val="en-US"/>
        </w:rPr>
        <w:t>pasien</w:t>
      </w:r>
      <w:proofErr w:type="spellEnd"/>
      <w:r w:rsidR="00AB2E19">
        <w:rPr>
          <w:lang w:val="en-US"/>
        </w:rPr>
        <w:t xml:space="preserve"> </w:t>
      </w:r>
      <w:proofErr w:type="spellStart"/>
      <w:r w:rsidR="00AB2E19">
        <w:rPr>
          <w:lang w:val="en-US"/>
        </w:rPr>
        <w:t>lansia</w:t>
      </w:r>
      <w:proofErr w:type="spellEnd"/>
      <w:r w:rsidR="00AB2E19">
        <w:rPr>
          <w:lang w:val="en-US"/>
        </w:rPr>
        <w:t xml:space="preserve"> </w:t>
      </w:r>
      <w:proofErr w:type="spellStart"/>
      <w:r w:rsidR="00AB2E19">
        <w:rPr>
          <w:lang w:val="en-US"/>
        </w:rPr>
        <w:t>awal</w:t>
      </w:r>
      <w:proofErr w:type="spellEnd"/>
      <w:r w:rsidR="00AB2E19">
        <w:rPr>
          <w:lang w:val="en-US"/>
        </w:rPr>
        <w:t xml:space="preserve"> </w:t>
      </w:r>
      <w:proofErr w:type="spellStart"/>
      <w:r w:rsidR="00AB2E19">
        <w:rPr>
          <w:lang w:val="en-US"/>
        </w:rPr>
        <w:t>ialah</w:t>
      </w:r>
      <w:proofErr w:type="spellEnd"/>
      <w:r w:rsidR="00AB2E19">
        <w:rPr>
          <w:lang w:val="en-US"/>
        </w:rPr>
        <w:t xml:space="preserve"> </w:t>
      </w:r>
      <w:proofErr w:type="spellStart"/>
      <w:r w:rsidR="00AB2E19">
        <w:rPr>
          <w:lang w:val="en-US"/>
        </w:rPr>
        <w:t>kemampuan</w:t>
      </w:r>
      <w:proofErr w:type="spellEnd"/>
      <w:r w:rsidR="00AB2E19">
        <w:rPr>
          <w:lang w:val="en-US"/>
        </w:rPr>
        <w:t xml:space="preserve"> </w:t>
      </w:r>
      <w:proofErr w:type="spellStart"/>
      <w:r w:rsidR="00AB2E19">
        <w:rPr>
          <w:lang w:val="en-US"/>
        </w:rPr>
        <w:t>fisik</w:t>
      </w:r>
      <w:proofErr w:type="spellEnd"/>
      <w:r w:rsidR="00AB2E19">
        <w:rPr>
          <w:lang w:val="en-US"/>
        </w:rPr>
        <w:t xml:space="preserve"> yang </w:t>
      </w:r>
      <w:proofErr w:type="spellStart"/>
      <w:r w:rsidR="00AB2E19">
        <w:rPr>
          <w:lang w:val="en-US"/>
        </w:rPr>
        <w:t>menurun</w:t>
      </w:r>
      <w:proofErr w:type="spellEnd"/>
      <w:r w:rsidR="00AB2E19">
        <w:rPr>
          <w:lang w:val="en-US"/>
        </w:rPr>
        <w:t xml:space="preserve">, </w:t>
      </w:r>
      <w:proofErr w:type="spellStart"/>
      <w:r w:rsidR="00AB2E19">
        <w:rPr>
          <w:lang w:val="en-US"/>
        </w:rPr>
        <w:t>psikologis</w:t>
      </w:r>
      <w:proofErr w:type="spellEnd"/>
      <w:r w:rsidR="00AB2E19">
        <w:rPr>
          <w:lang w:val="en-US"/>
        </w:rPr>
        <w:t xml:space="preserve"> yang </w:t>
      </w:r>
      <w:proofErr w:type="spellStart"/>
      <w:r w:rsidR="00AB2E19">
        <w:rPr>
          <w:lang w:val="en-US"/>
        </w:rPr>
        <w:t>berubah</w:t>
      </w:r>
      <w:proofErr w:type="spellEnd"/>
      <w:r w:rsidR="00AB2E19">
        <w:rPr>
          <w:lang w:val="en-US"/>
        </w:rPr>
        <w:t xml:space="preserve">, </w:t>
      </w:r>
      <w:proofErr w:type="spellStart"/>
      <w:r w:rsidR="00AB2E19">
        <w:rPr>
          <w:lang w:val="en-US"/>
        </w:rPr>
        <w:t>tingkat</w:t>
      </w:r>
      <w:proofErr w:type="spellEnd"/>
      <w:r w:rsidR="00AB2E19">
        <w:rPr>
          <w:lang w:val="en-US"/>
        </w:rPr>
        <w:t xml:space="preserve"> </w:t>
      </w:r>
      <w:proofErr w:type="spellStart"/>
      <w:r w:rsidR="00AB2E19">
        <w:rPr>
          <w:lang w:val="en-US"/>
        </w:rPr>
        <w:t>kebebasan</w:t>
      </w:r>
      <w:proofErr w:type="spellEnd"/>
      <w:r w:rsidR="00AB2E19">
        <w:rPr>
          <w:lang w:val="en-US"/>
        </w:rPr>
        <w:t xml:space="preserve"> yang </w:t>
      </w:r>
      <w:proofErr w:type="spellStart"/>
      <w:r w:rsidR="00AB2E19">
        <w:rPr>
          <w:lang w:val="en-US"/>
        </w:rPr>
        <w:t>berkurang</w:t>
      </w:r>
      <w:proofErr w:type="spellEnd"/>
      <w:r w:rsidR="00AB2E19">
        <w:rPr>
          <w:lang w:val="en-US"/>
        </w:rPr>
        <w:t xml:space="preserve">, </w:t>
      </w:r>
      <w:proofErr w:type="spellStart"/>
      <w:r w:rsidR="00AB2E19">
        <w:rPr>
          <w:lang w:val="en-US"/>
        </w:rPr>
        <w:t>hubungan</w:t>
      </w:r>
      <w:proofErr w:type="spellEnd"/>
      <w:r w:rsidR="00AB2E19">
        <w:rPr>
          <w:lang w:val="en-US"/>
        </w:rPr>
        <w:t xml:space="preserve"> social </w:t>
      </w:r>
      <w:proofErr w:type="spellStart"/>
      <w:r w:rsidR="00AB2E19">
        <w:rPr>
          <w:lang w:val="en-US"/>
        </w:rPr>
        <w:t>dan</w:t>
      </w:r>
      <w:proofErr w:type="spellEnd"/>
      <w:r w:rsidR="00AB2E19">
        <w:rPr>
          <w:lang w:val="en-US"/>
        </w:rPr>
        <w:t xml:space="preserve"> </w:t>
      </w:r>
      <w:proofErr w:type="spellStart"/>
      <w:r w:rsidR="00AB2E19">
        <w:rPr>
          <w:lang w:val="en-US"/>
        </w:rPr>
        <w:t>lingkungan</w:t>
      </w:r>
      <w:proofErr w:type="spellEnd"/>
      <w:r w:rsidR="00AB2E19">
        <w:rPr>
          <w:lang w:val="en-US"/>
        </w:rPr>
        <w:t xml:space="preserve"> </w:t>
      </w:r>
      <w:proofErr w:type="spellStart"/>
      <w:r w:rsidR="00AB2E19">
        <w:rPr>
          <w:lang w:val="en-US"/>
        </w:rPr>
        <w:t>hidup</w:t>
      </w:r>
      <w:proofErr w:type="spellEnd"/>
      <w:r w:rsidR="00AB2E19">
        <w:rPr>
          <w:lang w:val="en-US"/>
        </w:rPr>
        <w:t xml:space="preserve"> </w:t>
      </w:r>
      <w:proofErr w:type="spellStart"/>
      <w:r w:rsidR="00AB2E19">
        <w:rPr>
          <w:lang w:val="en-US"/>
        </w:rPr>
        <w:t>pasien</w:t>
      </w:r>
      <w:proofErr w:type="spellEnd"/>
      <w:r w:rsidR="00AB2E19">
        <w:rPr>
          <w:lang w:val="en-US"/>
        </w:rPr>
        <w:t>.</w:t>
      </w:r>
    </w:p>
    <w:p w:rsidR="00AB2E19" w:rsidRDefault="00AB2E19" w:rsidP="00AB2E19">
      <w:pPr>
        <w:pStyle w:val="ListParagraph"/>
        <w:numPr>
          <w:ilvl w:val="0"/>
          <w:numId w:val="2"/>
        </w:numPr>
        <w:spacing w:before="6" w:after="0" w:line="360" w:lineRule="auto"/>
        <w:ind w:right="4"/>
        <w:rPr>
          <w:lang w:val="en-US"/>
        </w:rPr>
      </w:pPr>
      <w:proofErr w:type="spellStart"/>
      <w:r>
        <w:rPr>
          <w:lang w:val="en-US"/>
        </w:rPr>
        <w:t>Karakteristik</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Penyakit</w:t>
      </w:r>
      <w:proofErr w:type="spellEnd"/>
    </w:p>
    <w:p w:rsidR="00A66D72" w:rsidRDefault="00A66D72" w:rsidP="00A66D72">
      <w:pPr>
        <w:pStyle w:val="ListParagraph"/>
        <w:spacing w:before="6" w:after="0" w:line="360" w:lineRule="auto"/>
        <w:ind w:left="366" w:right="4"/>
        <w:jc w:val="center"/>
        <w:rPr>
          <w:lang w:val="en-US"/>
        </w:rPr>
      </w:pPr>
      <w:proofErr w:type="spellStart"/>
      <w:proofErr w:type="gramStart"/>
      <w:r>
        <w:rPr>
          <w:lang w:val="en-US"/>
        </w:rPr>
        <w:t>Tabel</w:t>
      </w:r>
      <w:proofErr w:type="spellEnd"/>
      <w:r>
        <w:rPr>
          <w:lang w:val="en-US"/>
        </w:rPr>
        <w:t xml:space="preserve"> 3.</w:t>
      </w:r>
      <w:proofErr w:type="gramEnd"/>
      <w:r>
        <w:rPr>
          <w:lang w:val="en-US"/>
        </w:rPr>
        <w:t xml:space="preserve"> </w:t>
      </w:r>
      <w:r w:rsidRPr="008C7ECD">
        <w:rPr>
          <w:szCs w:val="24"/>
        </w:rPr>
        <w:t>Karakteristik Pasien Berdasarkan Diagnosa</w:t>
      </w:r>
    </w:p>
    <w:tbl>
      <w:tblPr>
        <w:tblStyle w:val="TableGrid"/>
        <w:tblW w:w="7805" w:type="dxa"/>
        <w:jc w:val="center"/>
        <w:tblInd w:w="817" w:type="dxa"/>
        <w:tblBorders>
          <w:left w:val="none" w:sz="0" w:space="0" w:color="auto"/>
          <w:right w:val="none" w:sz="0" w:space="0" w:color="auto"/>
        </w:tblBorders>
        <w:tblLook w:val="04A0" w:firstRow="1" w:lastRow="0" w:firstColumn="1" w:lastColumn="0" w:noHBand="0" w:noVBand="1"/>
      </w:tblPr>
      <w:tblGrid>
        <w:gridCol w:w="3544"/>
        <w:gridCol w:w="1986"/>
        <w:gridCol w:w="2275"/>
      </w:tblGrid>
      <w:tr w:rsidR="00AB2E19" w:rsidTr="0000061F">
        <w:trPr>
          <w:trHeight w:val="217"/>
          <w:jc w:val="center"/>
        </w:trPr>
        <w:tc>
          <w:tcPr>
            <w:tcW w:w="3544" w:type="dxa"/>
          </w:tcPr>
          <w:p w:rsidR="00AB2E19" w:rsidRPr="00043E35" w:rsidRDefault="00AB2E19" w:rsidP="00720797">
            <w:pPr>
              <w:jc w:val="center"/>
              <w:rPr>
                <w:b/>
                <w:sz w:val="22"/>
                <w:lang w:val="en-US"/>
              </w:rPr>
            </w:pPr>
            <w:proofErr w:type="spellStart"/>
            <w:r w:rsidRPr="00043E35">
              <w:rPr>
                <w:b/>
                <w:sz w:val="22"/>
                <w:lang w:val="en-US"/>
              </w:rPr>
              <w:t>Diagnosa</w:t>
            </w:r>
            <w:proofErr w:type="spellEnd"/>
          </w:p>
        </w:tc>
        <w:tc>
          <w:tcPr>
            <w:tcW w:w="1986" w:type="dxa"/>
          </w:tcPr>
          <w:p w:rsidR="00AB2E19" w:rsidRPr="00043E35" w:rsidRDefault="00AB2E19" w:rsidP="00720797">
            <w:pPr>
              <w:jc w:val="center"/>
              <w:rPr>
                <w:b/>
                <w:sz w:val="22"/>
                <w:lang w:val="en-US"/>
              </w:rPr>
            </w:pPr>
            <w:proofErr w:type="spellStart"/>
            <w:r w:rsidRPr="00043E35">
              <w:rPr>
                <w:b/>
                <w:sz w:val="22"/>
                <w:lang w:val="en-US"/>
              </w:rPr>
              <w:t>Jumlah</w:t>
            </w:r>
            <w:proofErr w:type="spellEnd"/>
          </w:p>
        </w:tc>
        <w:tc>
          <w:tcPr>
            <w:tcW w:w="2275" w:type="dxa"/>
          </w:tcPr>
          <w:p w:rsidR="00AB2E19" w:rsidRPr="00043E35" w:rsidRDefault="00AB2E19" w:rsidP="00720797">
            <w:pPr>
              <w:jc w:val="center"/>
              <w:rPr>
                <w:b/>
                <w:sz w:val="22"/>
                <w:lang w:val="en-US"/>
              </w:rPr>
            </w:pPr>
            <w:proofErr w:type="spellStart"/>
            <w:r w:rsidRPr="00043E35">
              <w:rPr>
                <w:b/>
                <w:sz w:val="22"/>
                <w:lang w:val="en-US"/>
              </w:rPr>
              <w:t>Persentase</w:t>
            </w:r>
            <w:proofErr w:type="spellEnd"/>
            <w:r>
              <w:rPr>
                <w:b/>
                <w:sz w:val="22"/>
                <w:lang w:val="en-US"/>
              </w:rPr>
              <w:t xml:space="preserve"> (%)</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043E35">
              <w:rPr>
                <w:rFonts w:cs="Times New Roman"/>
                <w:sz w:val="22"/>
                <w:lang w:val="en-US"/>
              </w:rPr>
              <w:t xml:space="preserve">Other and unspecified </w:t>
            </w:r>
            <w:r>
              <w:rPr>
                <w:rFonts w:cs="Times New Roman"/>
                <w:sz w:val="22"/>
                <w:lang w:val="en-US"/>
              </w:rPr>
              <w:t>abdominal pain</w:t>
            </w:r>
          </w:p>
        </w:tc>
        <w:tc>
          <w:tcPr>
            <w:tcW w:w="1986" w:type="dxa"/>
          </w:tcPr>
          <w:p w:rsidR="00AB2E19" w:rsidRPr="00043E35" w:rsidRDefault="00AB2E19" w:rsidP="00720797">
            <w:pPr>
              <w:jc w:val="center"/>
              <w:rPr>
                <w:rFonts w:cs="Times New Roman"/>
                <w:sz w:val="22"/>
                <w:lang w:val="en-US"/>
              </w:rPr>
            </w:pPr>
            <w:r>
              <w:rPr>
                <w:rFonts w:cs="Times New Roman"/>
                <w:sz w:val="22"/>
                <w:lang w:val="en-US"/>
              </w:rPr>
              <w:t>10</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Low Back Pain</w:t>
            </w:r>
          </w:p>
        </w:tc>
        <w:tc>
          <w:tcPr>
            <w:tcW w:w="1986" w:type="dxa"/>
          </w:tcPr>
          <w:p w:rsidR="00AB2E19" w:rsidRPr="00043E35" w:rsidRDefault="00AB2E19" w:rsidP="00720797">
            <w:pPr>
              <w:jc w:val="center"/>
              <w:rPr>
                <w:rFonts w:cs="Times New Roman"/>
                <w:sz w:val="22"/>
                <w:lang w:val="en-US"/>
              </w:rPr>
            </w:pPr>
            <w:r>
              <w:rPr>
                <w:rFonts w:cs="Times New Roman"/>
                <w:sz w:val="22"/>
                <w:lang w:val="en-US"/>
              </w:rPr>
              <w:t>7</w:t>
            </w:r>
          </w:p>
        </w:tc>
        <w:tc>
          <w:tcPr>
            <w:tcW w:w="2275" w:type="dxa"/>
          </w:tcPr>
          <w:p w:rsidR="00AB2E19" w:rsidRPr="00043E35" w:rsidRDefault="00AB2E19" w:rsidP="00720797">
            <w:pPr>
              <w:jc w:val="center"/>
              <w:rPr>
                <w:rFonts w:cs="Times New Roman"/>
                <w:sz w:val="22"/>
                <w:lang w:val="en-US"/>
              </w:rPr>
            </w:pPr>
            <w:r>
              <w:rPr>
                <w:rFonts w:cs="Times New Roman"/>
                <w:sz w:val="22"/>
                <w:lang w:val="en-US"/>
              </w:rPr>
              <w:t>11,67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Open Wound Of Unspecified Body Region</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7</w:t>
            </w:r>
          </w:p>
        </w:tc>
        <w:tc>
          <w:tcPr>
            <w:tcW w:w="2275" w:type="dxa"/>
          </w:tcPr>
          <w:p w:rsidR="00AB2E19" w:rsidRPr="00043E35" w:rsidRDefault="00AB2E19" w:rsidP="00720797">
            <w:pPr>
              <w:jc w:val="center"/>
              <w:rPr>
                <w:rFonts w:cs="Times New Roman"/>
                <w:sz w:val="22"/>
                <w:lang w:val="en-US"/>
              </w:rPr>
            </w:pPr>
            <w:r>
              <w:rPr>
                <w:rFonts w:cs="Times New Roman"/>
                <w:sz w:val="22"/>
                <w:lang w:val="en-US"/>
              </w:rPr>
              <w:t>11,67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Fever, Unspecified</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6</w:t>
            </w:r>
          </w:p>
        </w:tc>
        <w:tc>
          <w:tcPr>
            <w:tcW w:w="2275" w:type="dxa"/>
          </w:tcPr>
          <w:p w:rsidR="00AB2E19" w:rsidRPr="00043E35" w:rsidRDefault="00AB2E19" w:rsidP="00720797">
            <w:pPr>
              <w:jc w:val="center"/>
              <w:rPr>
                <w:rFonts w:cs="Times New Roman"/>
                <w:sz w:val="22"/>
                <w:lang w:val="en-US"/>
              </w:rPr>
            </w:pPr>
            <w:r>
              <w:rPr>
                <w:rFonts w:cs="Times New Roman"/>
                <w:sz w:val="22"/>
                <w:lang w:val="en-US"/>
              </w:rPr>
              <w:t>10,00</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Dyspepsia</w:t>
            </w:r>
          </w:p>
        </w:tc>
        <w:tc>
          <w:tcPr>
            <w:tcW w:w="1986" w:type="dxa"/>
          </w:tcPr>
          <w:p w:rsidR="00AB2E19" w:rsidRPr="00043E35" w:rsidRDefault="00AB2E19" w:rsidP="00720797">
            <w:pPr>
              <w:jc w:val="center"/>
              <w:rPr>
                <w:rFonts w:cs="Times New Roman"/>
                <w:sz w:val="22"/>
                <w:lang w:val="en-US"/>
              </w:rPr>
            </w:pPr>
            <w:r>
              <w:rPr>
                <w:rFonts w:cs="Times New Roman"/>
                <w:sz w:val="22"/>
                <w:lang w:val="en-US"/>
              </w:rPr>
              <w:t>4</w:t>
            </w:r>
          </w:p>
        </w:tc>
        <w:tc>
          <w:tcPr>
            <w:tcW w:w="2275" w:type="dxa"/>
          </w:tcPr>
          <w:p w:rsidR="00AB2E19" w:rsidRPr="00043E35" w:rsidRDefault="00AB2E19" w:rsidP="00720797">
            <w:pPr>
              <w:jc w:val="center"/>
              <w:rPr>
                <w:rFonts w:cs="Times New Roman"/>
                <w:sz w:val="22"/>
                <w:lang w:val="en-US"/>
              </w:rPr>
            </w:pPr>
            <w:r>
              <w:rPr>
                <w:rFonts w:cs="Times New Roman"/>
                <w:sz w:val="22"/>
                <w:lang w:val="en-US"/>
              </w:rPr>
              <w:t>6,67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Pneumonia,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3</w:t>
            </w:r>
          </w:p>
        </w:tc>
        <w:tc>
          <w:tcPr>
            <w:tcW w:w="2275" w:type="dxa"/>
          </w:tcPr>
          <w:p w:rsidR="00AB2E19" w:rsidRPr="00043E35" w:rsidRDefault="00AB2E19" w:rsidP="00720797">
            <w:pPr>
              <w:jc w:val="center"/>
              <w:rPr>
                <w:rFonts w:cs="Times New Roman"/>
                <w:sz w:val="22"/>
                <w:lang w:val="en-US"/>
              </w:rPr>
            </w:pPr>
            <w:r>
              <w:rPr>
                <w:rFonts w:cs="Times New Roman"/>
                <w:sz w:val="22"/>
                <w:lang w:val="en-US"/>
              </w:rPr>
              <w:t>5,00</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Pharyngitis,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2</w:t>
            </w:r>
          </w:p>
        </w:tc>
        <w:tc>
          <w:tcPr>
            <w:tcW w:w="2275" w:type="dxa"/>
          </w:tcPr>
          <w:p w:rsidR="00AB2E19" w:rsidRPr="00043E35" w:rsidRDefault="00AB2E19" w:rsidP="00720797">
            <w:pPr>
              <w:jc w:val="center"/>
              <w:rPr>
                <w:rFonts w:cs="Times New Roman"/>
                <w:sz w:val="22"/>
                <w:lang w:val="en-US"/>
              </w:rPr>
            </w:pPr>
            <w:r>
              <w:rPr>
                <w:rFonts w:cs="Times New Roman"/>
                <w:sz w:val="22"/>
                <w:lang w:val="en-US"/>
              </w:rPr>
              <w:t>3,33</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Cutaneous Abscess, Furuncle and Carbuncle,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2</w:t>
            </w:r>
          </w:p>
        </w:tc>
        <w:tc>
          <w:tcPr>
            <w:tcW w:w="2275" w:type="dxa"/>
          </w:tcPr>
          <w:p w:rsidR="00AB2E19" w:rsidRPr="00043E35" w:rsidRDefault="00AB2E19" w:rsidP="00720797">
            <w:pPr>
              <w:jc w:val="center"/>
              <w:rPr>
                <w:rFonts w:cs="Times New Roman"/>
                <w:sz w:val="22"/>
                <w:lang w:val="en-US"/>
              </w:rPr>
            </w:pPr>
            <w:r w:rsidRPr="00043E35">
              <w:rPr>
                <w:rFonts w:cs="Times New Roman"/>
                <w:sz w:val="22"/>
                <w:lang w:val="en-US"/>
              </w:rPr>
              <w:t>3</w:t>
            </w:r>
            <w:r>
              <w:rPr>
                <w:rFonts w:cs="Times New Roman"/>
                <w:sz w:val="22"/>
                <w:lang w:val="en-US"/>
              </w:rPr>
              <w:t>,33</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043E35">
              <w:rPr>
                <w:rFonts w:cs="Times New Roman"/>
                <w:sz w:val="22"/>
                <w:lang w:val="en-US"/>
              </w:rPr>
              <w:t>Urinary Tract Infection, Site Not 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2</w:t>
            </w:r>
          </w:p>
        </w:tc>
        <w:tc>
          <w:tcPr>
            <w:tcW w:w="2275" w:type="dxa"/>
          </w:tcPr>
          <w:p w:rsidR="00AB2E19" w:rsidRPr="00043E35" w:rsidRDefault="00AB2E19" w:rsidP="00720797">
            <w:pPr>
              <w:jc w:val="center"/>
              <w:rPr>
                <w:rFonts w:cs="Times New Roman"/>
                <w:sz w:val="22"/>
                <w:lang w:val="en-US"/>
              </w:rPr>
            </w:pPr>
            <w:r w:rsidRPr="00043E35">
              <w:rPr>
                <w:rFonts w:cs="Times New Roman"/>
                <w:sz w:val="22"/>
                <w:lang w:val="en-US"/>
              </w:rPr>
              <w:t>3</w:t>
            </w:r>
            <w:r>
              <w:rPr>
                <w:rFonts w:cs="Times New Roman"/>
                <w:sz w:val="22"/>
                <w:lang w:val="en-US"/>
              </w:rPr>
              <w:t>,33</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abdomen</w:t>
            </w:r>
          </w:p>
        </w:tc>
        <w:tc>
          <w:tcPr>
            <w:tcW w:w="1986" w:type="dxa"/>
          </w:tcPr>
          <w:p w:rsidR="00AB2E19" w:rsidRPr="00043E35" w:rsidRDefault="00AB2E19" w:rsidP="00720797">
            <w:pPr>
              <w:jc w:val="center"/>
              <w:rPr>
                <w:rFonts w:cs="Times New Roman"/>
                <w:sz w:val="22"/>
                <w:lang w:val="en-US"/>
              </w:rPr>
            </w:pPr>
            <w:r>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Bronchitis,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Conjunctivitis,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Pharyngitis, Unspecified</w:t>
            </w:r>
          </w:p>
        </w:tc>
        <w:tc>
          <w:tcPr>
            <w:tcW w:w="1986" w:type="dxa"/>
          </w:tcPr>
          <w:p w:rsidR="00AB2E19" w:rsidRPr="00043E35" w:rsidRDefault="00AB2E19" w:rsidP="00720797">
            <w:pPr>
              <w:jc w:val="center"/>
              <w:rPr>
                <w:rFonts w:cs="Times New Roman"/>
                <w:sz w:val="22"/>
                <w:lang w:val="en-US"/>
              </w:rPr>
            </w:pPr>
            <w:r>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Tonsillitis, Unspecified</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Acute Upper Respiratory Infection, Unspecified</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Asthma, unspecified</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Bronchiectasis</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lastRenderedPageBreak/>
              <w:t>Chronic Obstructive Pulmonary Disease With Acute</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Chronic Tonsillitis</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Foreign body in alimentary tract</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Foreign body in ear</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Gastro-</w:t>
            </w:r>
            <w:proofErr w:type="spellStart"/>
            <w:r w:rsidRPr="00FF73D0">
              <w:rPr>
                <w:rFonts w:cs="Times New Roman"/>
                <w:sz w:val="22"/>
                <w:lang w:val="en-US"/>
              </w:rPr>
              <w:t>Oesophageal</w:t>
            </w:r>
            <w:proofErr w:type="spellEnd"/>
            <w:r w:rsidRPr="00FF73D0">
              <w:rPr>
                <w:rFonts w:cs="Times New Roman"/>
                <w:sz w:val="22"/>
                <w:lang w:val="en-US"/>
              </w:rPr>
              <w:t xml:space="preserve"> Reflux Disease Without </w:t>
            </w:r>
            <w:proofErr w:type="spellStart"/>
            <w:r w:rsidRPr="00FF73D0">
              <w:rPr>
                <w:rFonts w:cs="Times New Roman"/>
                <w:sz w:val="22"/>
                <w:lang w:val="en-US"/>
              </w:rPr>
              <w:t>Oesophagitis</w:t>
            </w:r>
            <w:proofErr w:type="spellEnd"/>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Headache</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proofErr w:type="spellStart"/>
            <w:r w:rsidRPr="00FF73D0">
              <w:rPr>
                <w:rFonts w:cs="Times New Roman"/>
                <w:sz w:val="22"/>
                <w:lang w:val="en-US"/>
              </w:rPr>
              <w:t>Noninfective</w:t>
            </w:r>
            <w:proofErr w:type="spellEnd"/>
            <w:r w:rsidRPr="00FF73D0">
              <w:rPr>
                <w:rFonts w:cs="Times New Roman"/>
                <w:sz w:val="22"/>
                <w:lang w:val="en-US"/>
              </w:rPr>
              <w:t xml:space="preserve"> Gastroenteritis And Colitis, Unspecified</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Non-insulin-dependent diabetes</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Snake Venom</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043E35" w:rsidRDefault="00AB2E19" w:rsidP="00720797">
            <w:pPr>
              <w:jc w:val="left"/>
              <w:rPr>
                <w:rFonts w:cs="Times New Roman"/>
                <w:sz w:val="22"/>
                <w:lang w:val="en-US"/>
              </w:rPr>
            </w:pPr>
            <w:r w:rsidRPr="00FF73D0">
              <w:rPr>
                <w:rFonts w:cs="Times New Roman"/>
                <w:sz w:val="22"/>
                <w:lang w:val="en-US"/>
              </w:rPr>
              <w:t>Unspecified diabetes mellitus</w:t>
            </w:r>
          </w:p>
        </w:tc>
        <w:tc>
          <w:tcPr>
            <w:tcW w:w="1986" w:type="dxa"/>
          </w:tcPr>
          <w:p w:rsidR="00AB2E19" w:rsidRPr="00043E35" w:rsidRDefault="00AB2E19" w:rsidP="00720797">
            <w:pPr>
              <w:jc w:val="center"/>
              <w:rPr>
                <w:rFonts w:cs="Times New Roman"/>
                <w:sz w:val="22"/>
                <w:lang w:val="en-US"/>
              </w:rPr>
            </w:pPr>
            <w:r w:rsidRPr="00043E35">
              <w:rPr>
                <w:rFonts w:cs="Times New Roman"/>
                <w:sz w:val="22"/>
                <w:lang w:val="en-US"/>
              </w:rPr>
              <w:t>1</w:t>
            </w:r>
          </w:p>
        </w:tc>
        <w:tc>
          <w:tcPr>
            <w:tcW w:w="2275" w:type="dxa"/>
          </w:tcPr>
          <w:p w:rsidR="00AB2E19" w:rsidRPr="00043E35" w:rsidRDefault="00AB2E19" w:rsidP="00720797">
            <w:pPr>
              <w:jc w:val="center"/>
              <w:rPr>
                <w:rFonts w:cs="Times New Roman"/>
                <w:sz w:val="22"/>
                <w:lang w:val="en-US"/>
              </w:rPr>
            </w:pPr>
            <w:r>
              <w:rPr>
                <w:rFonts w:cs="Times New Roman"/>
                <w:sz w:val="22"/>
                <w:lang w:val="en-US"/>
              </w:rPr>
              <w:t>1,67</w:t>
            </w:r>
          </w:p>
        </w:tc>
      </w:tr>
      <w:tr w:rsidR="00AB2E19" w:rsidTr="0000061F">
        <w:trPr>
          <w:trHeight w:val="217"/>
          <w:jc w:val="center"/>
        </w:trPr>
        <w:tc>
          <w:tcPr>
            <w:tcW w:w="3544" w:type="dxa"/>
          </w:tcPr>
          <w:p w:rsidR="00AB2E19" w:rsidRPr="00FF73D0" w:rsidRDefault="00AB2E19" w:rsidP="0000061F">
            <w:pPr>
              <w:jc w:val="center"/>
              <w:rPr>
                <w:rFonts w:cs="Times New Roman"/>
                <w:sz w:val="22"/>
                <w:lang w:val="en-US"/>
              </w:rPr>
            </w:pPr>
            <w:r>
              <w:rPr>
                <w:rFonts w:cs="Times New Roman"/>
                <w:sz w:val="22"/>
                <w:lang w:val="en-US"/>
              </w:rPr>
              <w:t>Total</w:t>
            </w:r>
          </w:p>
        </w:tc>
        <w:tc>
          <w:tcPr>
            <w:tcW w:w="1986" w:type="dxa"/>
          </w:tcPr>
          <w:p w:rsidR="00AB2E19" w:rsidRPr="00043E35" w:rsidRDefault="00AB2E19" w:rsidP="00720797">
            <w:pPr>
              <w:jc w:val="center"/>
              <w:rPr>
                <w:rFonts w:cs="Times New Roman"/>
                <w:sz w:val="22"/>
                <w:lang w:val="en-US"/>
              </w:rPr>
            </w:pPr>
            <w:r>
              <w:rPr>
                <w:rFonts w:cs="Times New Roman"/>
                <w:sz w:val="22"/>
                <w:lang w:val="en-US"/>
              </w:rPr>
              <w:t>60</w:t>
            </w:r>
          </w:p>
        </w:tc>
        <w:tc>
          <w:tcPr>
            <w:tcW w:w="2275" w:type="dxa"/>
          </w:tcPr>
          <w:p w:rsidR="00AB2E19" w:rsidRDefault="00AB2E19" w:rsidP="00720797">
            <w:pPr>
              <w:jc w:val="center"/>
              <w:rPr>
                <w:rFonts w:cs="Times New Roman"/>
                <w:sz w:val="22"/>
                <w:lang w:val="en-US"/>
              </w:rPr>
            </w:pPr>
            <w:r>
              <w:rPr>
                <w:rFonts w:cs="Times New Roman"/>
                <w:sz w:val="22"/>
                <w:lang w:val="en-US"/>
              </w:rPr>
              <w:t>100</w:t>
            </w:r>
          </w:p>
        </w:tc>
      </w:tr>
    </w:tbl>
    <w:p w:rsidR="00AB2E19" w:rsidRDefault="00AB2E19" w:rsidP="00AB2E19">
      <w:pPr>
        <w:pStyle w:val="ListParagraph"/>
        <w:spacing w:before="6" w:after="0" w:line="360" w:lineRule="auto"/>
        <w:ind w:left="366" w:right="4"/>
        <w:rPr>
          <w:lang w:val="en-US"/>
        </w:rPr>
      </w:pPr>
    </w:p>
    <w:p w:rsidR="0000061F" w:rsidRDefault="00A66D72" w:rsidP="0000061F">
      <w:pPr>
        <w:spacing w:line="480" w:lineRule="auto"/>
        <w:ind w:left="426"/>
        <w:rPr>
          <w:rFonts w:cs="Times New Roman"/>
          <w:sz w:val="22"/>
          <w:lang w:val="en-US"/>
        </w:rPr>
      </w:pPr>
      <w:r>
        <w:rPr>
          <w:lang w:val="en-US"/>
        </w:rPr>
        <w:tab/>
        <w:t xml:space="preserve">Dari data </w:t>
      </w:r>
      <w:proofErr w:type="spellStart"/>
      <w:r>
        <w:rPr>
          <w:lang w:val="en-US"/>
        </w:rPr>
        <w:t>tabel</w:t>
      </w:r>
      <w:proofErr w:type="spellEnd"/>
      <w:r>
        <w:rPr>
          <w:lang w:val="en-US"/>
        </w:rPr>
        <w:t xml:space="preserve"> 3</w:t>
      </w:r>
      <w:r w:rsidR="0000061F">
        <w:rPr>
          <w:lang w:val="en-US"/>
        </w:rPr>
        <w:t xml:space="preserve">, </w:t>
      </w:r>
      <w:proofErr w:type="spellStart"/>
      <w:r w:rsidR="0000061F">
        <w:rPr>
          <w:lang w:val="en-US"/>
        </w:rPr>
        <w:t>dapat</w:t>
      </w:r>
      <w:proofErr w:type="spellEnd"/>
      <w:r w:rsidR="0000061F">
        <w:rPr>
          <w:lang w:val="en-US"/>
        </w:rPr>
        <w:t xml:space="preserve"> </w:t>
      </w:r>
      <w:proofErr w:type="spellStart"/>
      <w:r w:rsidR="0000061F">
        <w:rPr>
          <w:lang w:val="en-US"/>
        </w:rPr>
        <w:t>dilihat</w:t>
      </w:r>
      <w:proofErr w:type="spellEnd"/>
      <w:r w:rsidR="0000061F">
        <w:rPr>
          <w:lang w:val="en-US"/>
        </w:rPr>
        <w:t xml:space="preserve"> </w:t>
      </w:r>
      <w:proofErr w:type="spellStart"/>
      <w:r w:rsidR="0000061F">
        <w:rPr>
          <w:lang w:val="en-US"/>
        </w:rPr>
        <w:t>bahwa</w:t>
      </w:r>
      <w:proofErr w:type="spellEnd"/>
      <w:r w:rsidR="0000061F">
        <w:rPr>
          <w:lang w:val="en-US"/>
        </w:rPr>
        <w:t xml:space="preserve"> </w:t>
      </w:r>
      <w:proofErr w:type="spellStart"/>
      <w:r w:rsidR="0000061F">
        <w:rPr>
          <w:lang w:val="en-US"/>
        </w:rPr>
        <w:t>diagnosa</w:t>
      </w:r>
      <w:proofErr w:type="spellEnd"/>
      <w:r w:rsidR="0000061F">
        <w:rPr>
          <w:lang w:val="en-US"/>
        </w:rPr>
        <w:t xml:space="preserve"> yang paling </w:t>
      </w:r>
      <w:proofErr w:type="spellStart"/>
      <w:r w:rsidR="0000061F">
        <w:rPr>
          <w:lang w:val="en-US"/>
        </w:rPr>
        <w:t>sering</w:t>
      </w:r>
      <w:proofErr w:type="spellEnd"/>
      <w:r w:rsidR="0000061F">
        <w:rPr>
          <w:lang w:val="en-US"/>
        </w:rPr>
        <w:t xml:space="preserve"> </w:t>
      </w:r>
      <w:proofErr w:type="spellStart"/>
      <w:r w:rsidR="0000061F">
        <w:rPr>
          <w:lang w:val="en-US"/>
        </w:rPr>
        <w:t>diberikan</w:t>
      </w:r>
      <w:proofErr w:type="spellEnd"/>
      <w:r w:rsidR="0000061F">
        <w:rPr>
          <w:lang w:val="en-US"/>
        </w:rPr>
        <w:t xml:space="preserve"> </w:t>
      </w:r>
      <w:proofErr w:type="spellStart"/>
      <w:r w:rsidR="0000061F">
        <w:rPr>
          <w:lang w:val="en-US"/>
        </w:rPr>
        <w:t>antibiotik</w:t>
      </w:r>
      <w:proofErr w:type="spellEnd"/>
      <w:r w:rsidR="0000061F">
        <w:rPr>
          <w:lang w:val="en-US"/>
        </w:rPr>
        <w:t xml:space="preserve"> </w:t>
      </w:r>
      <w:proofErr w:type="spellStart"/>
      <w:r w:rsidR="0000061F">
        <w:rPr>
          <w:lang w:val="en-US"/>
        </w:rPr>
        <w:t>untuk</w:t>
      </w:r>
      <w:proofErr w:type="spellEnd"/>
      <w:r w:rsidR="0000061F">
        <w:rPr>
          <w:lang w:val="en-US"/>
        </w:rPr>
        <w:t xml:space="preserve"> </w:t>
      </w:r>
      <w:proofErr w:type="spellStart"/>
      <w:r w:rsidR="0000061F">
        <w:rPr>
          <w:lang w:val="en-US"/>
        </w:rPr>
        <w:t>pasien</w:t>
      </w:r>
      <w:proofErr w:type="spellEnd"/>
      <w:r w:rsidR="0000061F">
        <w:rPr>
          <w:lang w:val="en-US"/>
        </w:rPr>
        <w:t xml:space="preserve"> </w:t>
      </w:r>
      <w:proofErr w:type="spellStart"/>
      <w:r w:rsidR="0000061F">
        <w:rPr>
          <w:lang w:val="en-US"/>
        </w:rPr>
        <w:t>berusia</w:t>
      </w:r>
      <w:proofErr w:type="spellEnd"/>
      <w:r w:rsidR="0000061F">
        <w:rPr>
          <w:lang w:val="en-US"/>
        </w:rPr>
        <w:t xml:space="preserve"> 45-65 </w:t>
      </w:r>
      <w:proofErr w:type="spellStart"/>
      <w:r w:rsidR="0000061F">
        <w:rPr>
          <w:lang w:val="en-US"/>
        </w:rPr>
        <w:t>tahun</w:t>
      </w:r>
      <w:proofErr w:type="spellEnd"/>
      <w:r w:rsidR="0000061F">
        <w:rPr>
          <w:lang w:val="en-US"/>
        </w:rPr>
        <w:t xml:space="preserve"> </w:t>
      </w:r>
      <w:proofErr w:type="spellStart"/>
      <w:r w:rsidR="0000061F">
        <w:rPr>
          <w:lang w:val="en-US"/>
        </w:rPr>
        <w:t>adalah</w:t>
      </w:r>
      <w:proofErr w:type="spellEnd"/>
      <w:r w:rsidR="0000061F">
        <w:rPr>
          <w:lang w:val="en-US"/>
        </w:rPr>
        <w:t xml:space="preserve"> </w:t>
      </w:r>
      <w:r w:rsidR="0000061F" w:rsidRPr="00BC141D">
        <w:rPr>
          <w:rFonts w:cs="Times New Roman"/>
          <w:i/>
          <w:sz w:val="22"/>
          <w:lang w:val="en-US"/>
        </w:rPr>
        <w:t xml:space="preserve">Other and unspecified </w:t>
      </w:r>
      <w:r w:rsidR="0000061F">
        <w:rPr>
          <w:rFonts w:cs="Times New Roman"/>
          <w:i/>
          <w:sz w:val="22"/>
          <w:lang w:val="en-US"/>
        </w:rPr>
        <w:t xml:space="preserve">abdominal pain </w:t>
      </w:r>
      <w:proofErr w:type="spellStart"/>
      <w:r w:rsidR="0000061F">
        <w:rPr>
          <w:rFonts w:cs="Times New Roman"/>
          <w:sz w:val="22"/>
          <w:lang w:val="en-US"/>
        </w:rPr>
        <w:t>berjumlah</w:t>
      </w:r>
      <w:proofErr w:type="spellEnd"/>
      <w:r w:rsidR="0000061F">
        <w:rPr>
          <w:rFonts w:cs="Times New Roman"/>
          <w:sz w:val="22"/>
          <w:lang w:val="en-US"/>
        </w:rPr>
        <w:t xml:space="preserve"> 10 orang </w:t>
      </w:r>
      <w:proofErr w:type="spellStart"/>
      <w:r w:rsidR="0000061F">
        <w:rPr>
          <w:rFonts w:cs="Times New Roman"/>
          <w:sz w:val="22"/>
          <w:lang w:val="en-US"/>
        </w:rPr>
        <w:t>dengan</w:t>
      </w:r>
      <w:proofErr w:type="spellEnd"/>
      <w:r w:rsidR="0000061F">
        <w:rPr>
          <w:rFonts w:cs="Times New Roman"/>
          <w:sz w:val="22"/>
          <w:lang w:val="en-US"/>
        </w:rPr>
        <w:t xml:space="preserve"> </w:t>
      </w:r>
      <w:proofErr w:type="spellStart"/>
      <w:r w:rsidR="0000061F">
        <w:rPr>
          <w:rFonts w:cs="Times New Roman"/>
          <w:sz w:val="22"/>
          <w:lang w:val="en-US"/>
        </w:rPr>
        <w:t>persentase</w:t>
      </w:r>
      <w:proofErr w:type="spellEnd"/>
      <w:r w:rsidR="0000061F">
        <w:rPr>
          <w:rFonts w:cs="Times New Roman"/>
          <w:sz w:val="22"/>
          <w:lang w:val="en-US"/>
        </w:rPr>
        <w:t xml:space="preserve"> 16,67%. </w:t>
      </w:r>
      <w:r w:rsidR="0000061F" w:rsidRPr="00BC141D">
        <w:rPr>
          <w:rFonts w:cs="Times New Roman"/>
          <w:i/>
          <w:sz w:val="22"/>
          <w:lang w:val="en-US"/>
        </w:rPr>
        <w:t xml:space="preserve">Other and unspecified </w:t>
      </w:r>
      <w:r w:rsidR="0000061F">
        <w:rPr>
          <w:rFonts w:cs="Times New Roman"/>
          <w:i/>
          <w:sz w:val="22"/>
          <w:lang w:val="en-US"/>
        </w:rPr>
        <w:t xml:space="preserve">abdominal pain </w:t>
      </w:r>
      <w:proofErr w:type="spellStart"/>
      <w:r w:rsidR="0000061F">
        <w:rPr>
          <w:rFonts w:cs="Times New Roman"/>
          <w:sz w:val="22"/>
          <w:lang w:val="en-US"/>
        </w:rPr>
        <w:t>atau</w:t>
      </w:r>
      <w:proofErr w:type="spellEnd"/>
      <w:r w:rsidR="0000061F">
        <w:rPr>
          <w:rFonts w:cs="Times New Roman"/>
          <w:sz w:val="22"/>
          <w:lang w:val="en-US"/>
        </w:rPr>
        <w:t xml:space="preserve"> yang </w:t>
      </w:r>
      <w:proofErr w:type="spellStart"/>
      <w:r w:rsidR="0000061F">
        <w:rPr>
          <w:rFonts w:cs="Times New Roman"/>
          <w:sz w:val="22"/>
          <w:lang w:val="en-US"/>
        </w:rPr>
        <w:t>dalam</w:t>
      </w:r>
      <w:proofErr w:type="spellEnd"/>
      <w:r w:rsidR="0000061F">
        <w:rPr>
          <w:rFonts w:cs="Times New Roman"/>
          <w:sz w:val="22"/>
          <w:lang w:val="en-US"/>
        </w:rPr>
        <w:t xml:space="preserve">  </w:t>
      </w:r>
      <w:proofErr w:type="spellStart"/>
      <w:r w:rsidR="0000061F">
        <w:rPr>
          <w:rFonts w:cs="Times New Roman"/>
          <w:sz w:val="22"/>
          <w:lang w:val="en-US"/>
        </w:rPr>
        <w:t>bahasa</w:t>
      </w:r>
      <w:proofErr w:type="spellEnd"/>
      <w:r w:rsidR="0000061F">
        <w:rPr>
          <w:rFonts w:cs="Times New Roman"/>
          <w:sz w:val="22"/>
          <w:lang w:val="en-US"/>
        </w:rPr>
        <w:t xml:space="preserve"> Indonesia </w:t>
      </w:r>
      <w:proofErr w:type="spellStart"/>
      <w:r w:rsidR="0000061F">
        <w:rPr>
          <w:rFonts w:cs="Times New Roman"/>
          <w:sz w:val="22"/>
          <w:lang w:val="en-US"/>
        </w:rPr>
        <w:t>disebut</w:t>
      </w:r>
      <w:proofErr w:type="spellEnd"/>
      <w:r w:rsidR="0000061F">
        <w:rPr>
          <w:rFonts w:cs="Times New Roman"/>
          <w:sz w:val="22"/>
          <w:lang w:val="en-US"/>
        </w:rPr>
        <w:t xml:space="preserve"> </w:t>
      </w:r>
      <w:proofErr w:type="spellStart"/>
      <w:r w:rsidR="0000061F">
        <w:rPr>
          <w:rFonts w:cs="Times New Roman"/>
          <w:sz w:val="22"/>
          <w:lang w:val="en-US"/>
        </w:rPr>
        <w:t>dengan</w:t>
      </w:r>
      <w:proofErr w:type="spellEnd"/>
      <w:r w:rsidR="0000061F">
        <w:rPr>
          <w:rFonts w:cs="Times New Roman"/>
          <w:sz w:val="22"/>
          <w:lang w:val="en-US"/>
        </w:rPr>
        <w:t xml:space="preserve"> </w:t>
      </w:r>
      <w:proofErr w:type="spellStart"/>
      <w:r w:rsidR="0000061F">
        <w:rPr>
          <w:rFonts w:cs="Times New Roman"/>
          <w:sz w:val="22"/>
          <w:lang w:val="en-US"/>
        </w:rPr>
        <w:t>nyeri</w:t>
      </w:r>
      <w:proofErr w:type="spellEnd"/>
      <w:r w:rsidR="0000061F">
        <w:rPr>
          <w:rFonts w:cs="Times New Roman"/>
          <w:sz w:val="22"/>
          <w:lang w:val="en-US"/>
        </w:rPr>
        <w:t xml:space="preserve"> </w:t>
      </w:r>
      <w:proofErr w:type="spellStart"/>
      <w:r w:rsidR="0000061F">
        <w:rPr>
          <w:rFonts w:cs="Times New Roman"/>
          <w:sz w:val="22"/>
          <w:lang w:val="en-US"/>
        </w:rPr>
        <w:t>perut</w:t>
      </w:r>
      <w:proofErr w:type="spellEnd"/>
      <w:r w:rsidR="0000061F">
        <w:rPr>
          <w:rFonts w:cs="Times New Roman"/>
          <w:sz w:val="22"/>
          <w:lang w:val="en-US"/>
        </w:rPr>
        <w:t xml:space="preserve"> </w:t>
      </w:r>
      <w:proofErr w:type="spellStart"/>
      <w:r w:rsidR="0000061F">
        <w:rPr>
          <w:rFonts w:cs="Times New Roman"/>
          <w:sz w:val="22"/>
          <w:lang w:val="en-US"/>
        </w:rPr>
        <w:t>merupakan</w:t>
      </w:r>
      <w:proofErr w:type="spellEnd"/>
      <w:r w:rsidR="0000061F">
        <w:rPr>
          <w:rFonts w:cs="Times New Roman"/>
          <w:sz w:val="22"/>
          <w:lang w:val="en-US"/>
        </w:rPr>
        <w:t xml:space="preserve"> </w:t>
      </w:r>
      <w:proofErr w:type="spellStart"/>
      <w:r w:rsidR="0000061F">
        <w:rPr>
          <w:rFonts w:cs="Times New Roman"/>
          <w:sz w:val="22"/>
          <w:lang w:val="en-US"/>
        </w:rPr>
        <w:t>sebuah</w:t>
      </w:r>
      <w:proofErr w:type="spellEnd"/>
      <w:r w:rsidR="0000061F">
        <w:rPr>
          <w:rFonts w:cs="Times New Roman"/>
          <w:sz w:val="22"/>
          <w:lang w:val="en-US"/>
        </w:rPr>
        <w:t xml:space="preserve"> </w:t>
      </w:r>
      <w:proofErr w:type="spellStart"/>
      <w:r w:rsidR="0000061F">
        <w:rPr>
          <w:rFonts w:cs="Times New Roman"/>
          <w:sz w:val="22"/>
          <w:lang w:val="en-US"/>
        </w:rPr>
        <w:t>keadaan</w:t>
      </w:r>
      <w:proofErr w:type="spellEnd"/>
      <w:r w:rsidR="0000061F">
        <w:rPr>
          <w:rFonts w:cs="Times New Roman"/>
          <w:sz w:val="22"/>
          <w:lang w:val="en-US"/>
        </w:rPr>
        <w:t xml:space="preserve"> </w:t>
      </w:r>
      <w:proofErr w:type="spellStart"/>
      <w:r w:rsidR="0000061F">
        <w:rPr>
          <w:rFonts w:cs="Times New Roman"/>
          <w:sz w:val="22"/>
          <w:lang w:val="en-US"/>
        </w:rPr>
        <w:t>medis</w:t>
      </w:r>
      <w:proofErr w:type="spellEnd"/>
      <w:r w:rsidR="0000061F">
        <w:rPr>
          <w:rFonts w:cs="Times New Roman"/>
          <w:sz w:val="22"/>
          <w:lang w:val="en-US"/>
        </w:rPr>
        <w:t xml:space="preserve"> yang </w:t>
      </w:r>
      <w:proofErr w:type="spellStart"/>
      <w:r w:rsidR="0000061F">
        <w:rPr>
          <w:rFonts w:cs="Times New Roman"/>
          <w:sz w:val="22"/>
          <w:lang w:val="en-US"/>
        </w:rPr>
        <w:t>memiliki</w:t>
      </w:r>
      <w:proofErr w:type="spellEnd"/>
      <w:r w:rsidR="0000061F">
        <w:rPr>
          <w:rFonts w:cs="Times New Roman"/>
          <w:sz w:val="22"/>
          <w:lang w:val="en-US"/>
        </w:rPr>
        <w:t xml:space="preserve"> </w:t>
      </w:r>
      <w:proofErr w:type="spellStart"/>
      <w:r w:rsidR="0000061F">
        <w:rPr>
          <w:rFonts w:cs="Times New Roman"/>
          <w:sz w:val="22"/>
          <w:lang w:val="en-US"/>
        </w:rPr>
        <w:t>ciri-ciri</w:t>
      </w:r>
      <w:proofErr w:type="spellEnd"/>
      <w:r w:rsidR="0000061F">
        <w:rPr>
          <w:rFonts w:cs="Times New Roman"/>
          <w:sz w:val="22"/>
          <w:lang w:val="en-US"/>
        </w:rPr>
        <w:t xml:space="preserve"> </w:t>
      </w:r>
      <w:proofErr w:type="spellStart"/>
      <w:r w:rsidR="0000061F">
        <w:rPr>
          <w:rFonts w:cs="Times New Roman"/>
          <w:sz w:val="22"/>
          <w:lang w:val="en-US"/>
        </w:rPr>
        <w:t>nyeri</w:t>
      </w:r>
      <w:proofErr w:type="spellEnd"/>
      <w:r w:rsidR="0000061F">
        <w:rPr>
          <w:rFonts w:cs="Times New Roman"/>
          <w:sz w:val="22"/>
          <w:lang w:val="en-US"/>
        </w:rPr>
        <w:t xml:space="preserve"> </w:t>
      </w:r>
      <w:proofErr w:type="spellStart"/>
      <w:r w:rsidR="0000061F">
        <w:rPr>
          <w:rFonts w:cs="Times New Roman"/>
          <w:sz w:val="22"/>
          <w:lang w:val="en-US"/>
        </w:rPr>
        <w:t>pada</w:t>
      </w:r>
      <w:proofErr w:type="spellEnd"/>
      <w:r w:rsidR="0000061F">
        <w:rPr>
          <w:rFonts w:cs="Times New Roman"/>
          <w:sz w:val="22"/>
          <w:lang w:val="en-US"/>
        </w:rPr>
        <w:t xml:space="preserve"> area </w:t>
      </w:r>
      <w:proofErr w:type="spellStart"/>
      <w:r w:rsidR="0000061F">
        <w:rPr>
          <w:rFonts w:cs="Times New Roman"/>
          <w:sz w:val="22"/>
          <w:lang w:val="en-US"/>
        </w:rPr>
        <w:t>sekitar</w:t>
      </w:r>
      <w:proofErr w:type="spellEnd"/>
      <w:r w:rsidR="0000061F">
        <w:rPr>
          <w:rFonts w:cs="Times New Roman"/>
          <w:sz w:val="22"/>
          <w:lang w:val="en-US"/>
        </w:rPr>
        <w:t xml:space="preserve"> </w:t>
      </w:r>
      <w:proofErr w:type="spellStart"/>
      <w:r w:rsidR="0000061F">
        <w:rPr>
          <w:rFonts w:cs="Times New Roman"/>
          <w:sz w:val="22"/>
          <w:lang w:val="en-US"/>
        </w:rPr>
        <w:t>perut</w:t>
      </w:r>
      <w:proofErr w:type="spellEnd"/>
      <w:r w:rsidR="0000061F">
        <w:rPr>
          <w:rFonts w:cs="Times New Roman"/>
          <w:sz w:val="22"/>
          <w:lang w:val="en-US"/>
        </w:rPr>
        <w:t xml:space="preserve">, yang </w:t>
      </w:r>
      <w:proofErr w:type="spellStart"/>
      <w:r w:rsidR="0000061F">
        <w:rPr>
          <w:rFonts w:cs="Times New Roman"/>
          <w:sz w:val="22"/>
          <w:lang w:val="en-US"/>
        </w:rPr>
        <w:t>berasal</w:t>
      </w:r>
      <w:proofErr w:type="spellEnd"/>
      <w:r w:rsidR="0000061F">
        <w:rPr>
          <w:rFonts w:cs="Times New Roman"/>
          <w:sz w:val="22"/>
          <w:lang w:val="en-US"/>
        </w:rPr>
        <w:t xml:space="preserve"> </w:t>
      </w:r>
      <w:proofErr w:type="spellStart"/>
      <w:r w:rsidR="0000061F">
        <w:rPr>
          <w:rFonts w:cs="Times New Roman"/>
          <w:sz w:val="22"/>
          <w:lang w:val="en-US"/>
        </w:rPr>
        <w:t>dari</w:t>
      </w:r>
      <w:proofErr w:type="spellEnd"/>
      <w:r w:rsidR="0000061F">
        <w:rPr>
          <w:rFonts w:cs="Times New Roman"/>
          <w:sz w:val="22"/>
          <w:lang w:val="en-US"/>
        </w:rPr>
        <w:t xml:space="preserve"> </w:t>
      </w:r>
      <w:proofErr w:type="spellStart"/>
      <w:r w:rsidR="0000061F">
        <w:rPr>
          <w:rFonts w:cs="Times New Roman"/>
          <w:sz w:val="22"/>
          <w:lang w:val="en-US"/>
        </w:rPr>
        <w:t>bekas</w:t>
      </w:r>
      <w:proofErr w:type="spellEnd"/>
      <w:r w:rsidR="0000061F">
        <w:rPr>
          <w:rFonts w:cs="Times New Roman"/>
          <w:sz w:val="22"/>
          <w:lang w:val="en-US"/>
        </w:rPr>
        <w:t xml:space="preserve"> </w:t>
      </w:r>
      <w:proofErr w:type="spellStart"/>
      <w:r w:rsidR="0000061F">
        <w:rPr>
          <w:rFonts w:cs="Times New Roman"/>
          <w:sz w:val="22"/>
          <w:lang w:val="en-US"/>
        </w:rPr>
        <w:t>luka</w:t>
      </w:r>
      <w:proofErr w:type="spellEnd"/>
      <w:r w:rsidR="0000061F">
        <w:rPr>
          <w:rFonts w:cs="Times New Roman"/>
          <w:sz w:val="22"/>
          <w:lang w:val="en-US"/>
        </w:rPr>
        <w:t xml:space="preserve"> </w:t>
      </w:r>
      <w:proofErr w:type="spellStart"/>
      <w:r w:rsidR="0000061F">
        <w:rPr>
          <w:rFonts w:cs="Times New Roman"/>
          <w:sz w:val="22"/>
          <w:lang w:val="en-US"/>
        </w:rPr>
        <w:t>dengan</w:t>
      </w:r>
      <w:proofErr w:type="spellEnd"/>
      <w:r w:rsidR="0000061F">
        <w:rPr>
          <w:rFonts w:cs="Times New Roman"/>
          <w:sz w:val="22"/>
          <w:lang w:val="en-US"/>
        </w:rPr>
        <w:t xml:space="preserve"> </w:t>
      </w:r>
      <w:proofErr w:type="spellStart"/>
      <w:r w:rsidR="0000061F">
        <w:rPr>
          <w:rFonts w:cs="Times New Roman"/>
          <w:sz w:val="22"/>
          <w:lang w:val="en-US"/>
        </w:rPr>
        <w:t>durasi</w:t>
      </w:r>
      <w:proofErr w:type="spellEnd"/>
      <w:r w:rsidR="0000061F">
        <w:rPr>
          <w:rFonts w:cs="Times New Roman"/>
          <w:sz w:val="22"/>
          <w:lang w:val="en-US"/>
        </w:rPr>
        <w:t xml:space="preserve"> </w:t>
      </w:r>
      <w:proofErr w:type="spellStart"/>
      <w:r w:rsidR="0000061F">
        <w:rPr>
          <w:rFonts w:cs="Times New Roman"/>
          <w:sz w:val="22"/>
          <w:lang w:val="en-US"/>
        </w:rPr>
        <w:t>maksimal</w:t>
      </w:r>
      <w:proofErr w:type="spellEnd"/>
      <w:r w:rsidR="0000061F">
        <w:rPr>
          <w:rFonts w:cs="Times New Roman"/>
          <w:sz w:val="22"/>
          <w:lang w:val="en-US"/>
        </w:rPr>
        <w:t xml:space="preserve"> </w:t>
      </w:r>
      <w:proofErr w:type="spellStart"/>
      <w:r w:rsidR="0000061F">
        <w:rPr>
          <w:rFonts w:cs="Times New Roman"/>
          <w:sz w:val="22"/>
          <w:lang w:val="en-US"/>
        </w:rPr>
        <w:t>selama</w:t>
      </w:r>
      <w:proofErr w:type="spellEnd"/>
      <w:r w:rsidR="0000061F">
        <w:rPr>
          <w:rFonts w:cs="Times New Roman"/>
          <w:sz w:val="22"/>
          <w:lang w:val="en-US"/>
        </w:rPr>
        <w:t xml:space="preserve"> 5 </w:t>
      </w:r>
      <w:proofErr w:type="spellStart"/>
      <w:r w:rsidR="0000061F">
        <w:rPr>
          <w:rFonts w:cs="Times New Roman"/>
          <w:sz w:val="22"/>
          <w:lang w:val="en-US"/>
        </w:rPr>
        <w:t>hari</w:t>
      </w:r>
      <w:proofErr w:type="spellEnd"/>
      <w:r w:rsidR="0000061F">
        <w:rPr>
          <w:rFonts w:cs="Times New Roman"/>
          <w:sz w:val="22"/>
          <w:lang w:val="en-US"/>
        </w:rPr>
        <w:t xml:space="preserve">, </w:t>
      </w:r>
      <w:proofErr w:type="spellStart"/>
      <w:r w:rsidR="0000061F">
        <w:rPr>
          <w:rFonts w:cs="Times New Roman"/>
          <w:sz w:val="22"/>
          <w:lang w:val="en-US"/>
        </w:rPr>
        <w:t>Nyeri</w:t>
      </w:r>
      <w:proofErr w:type="spellEnd"/>
      <w:r w:rsidR="0000061F">
        <w:rPr>
          <w:rFonts w:cs="Times New Roman"/>
          <w:sz w:val="22"/>
          <w:lang w:val="en-US"/>
        </w:rPr>
        <w:t xml:space="preserve"> </w:t>
      </w:r>
      <w:proofErr w:type="spellStart"/>
      <w:r w:rsidR="0000061F">
        <w:rPr>
          <w:rFonts w:cs="Times New Roman"/>
          <w:sz w:val="22"/>
          <w:lang w:val="en-US"/>
        </w:rPr>
        <w:t>perut</w:t>
      </w:r>
      <w:proofErr w:type="spellEnd"/>
      <w:r w:rsidR="0000061F">
        <w:rPr>
          <w:rFonts w:cs="Times New Roman"/>
          <w:sz w:val="22"/>
          <w:lang w:val="en-US"/>
        </w:rPr>
        <w:t xml:space="preserve"> </w:t>
      </w:r>
      <w:proofErr w:type="spellStart"/>
      <w:r w:rsidR="0000061F">
        <w:rPr>
          <w:rFonts w:cs="Times New Roman"/>
          <w:sz w:val="22"/>
          <w:lang w:val="en-US"/>
        </w:rPr>
        <w:t>merupakan</w:t>
      </w:r>
      <w:proofErr w:type="spellEnd"/>
      <w:r w:rsidR="0000061F">
        <w:rPr>
          <w:rFonts w:cs="Times New Roman"/>
          <w:sz w:val="22"/>
          <w:lang w:val="en-US"/>
        </w:rPr>
        <w:t xml:space="preserve"> </w:t>
      </w:r>
      <w:proofErr w:type="spellStart"/>
      <w:r w:rsidR="0000061F">
        <w:rPr>
          <w:rFonts w:cs="Times New Roman"/>
          <w:sz w:val="22"/>
          <w:lang w:val="en-US"/>
        </w:rPr>
        <w:t>keluhan</w:t>
      </w:r>
      <w:proofErr w:type="spellEnd"/>
      <w:r w:rsidR="0000061F">
        <w:rPr>
          <w:rFonts w:cs="Times New Roman"/>
          <w:sz w:val="22"/>
          <w:lang w:val="en-US"/>
        </w:rPr>
        <w:t xml:space="preserve"> </w:t>
      </w:r>
      <w:proofErr w:type="spellStart"/>
      <w:r w:rsidR="0000061F">
        <w:rPr>
          <w:rFonts w:cs="Times New Roman"/>
          <w:sz w:val="22"/>
          <w:lang w:val="en-US"/>
        </w:rPr>
        <w:t>utama</w:t>
      </w:r>
      <w:proofErr w:type="spellEnd"/>
      <w:r w:rsidR="0000061F">
        <w:rPr>
          <w:rFonts w:cs="Times New Roman"/>
          <w:sz w:val="22"/>
          <w:lang w:val="en-US"/>
        </w:rPr>
        <w:t xml:space="preserve"> yang </w:t>
      </w:r>
      <w:proofErr w:type="spellStart"/>
      <w:r w:rsidR="0000061F">
        <w:rPr>
          <w:rFonts w:cs="Times New Roman"/>
          <w:sz w:val="22"/>
          <w:lang w:val="en-US"/>
        </w:rPr>
        <w:t>diderita</w:t>
      </w:r>
      <w:proofErr w:type="spellEnd"/>
      <w:r w:rsidR="0000061F">
        <w:rPr>
          <w:rFonts w:cs="Times New Roman"/>
          <w:sz w:val="22"/>
          <w:lang w:val="en-US"/>
        </w:rPr>
        <w:t xml:space="preserve"> </w:t>
      </w:r>
      <w:proofErr w:type="spellStart"/>
      <w:r w:rsidR="0000061F">
        <w:rPr>
          <w:rFonts w:cs="Times New Roman"/>
          <w:sz w:val="22"/>
          <w:lang w:val="en-US"/>
        </w:rPr>
        <w:t>pasien</w:t>
      </w:r>
      <w:proofErr w:type="spellEnd"/>
      <w:r w:rsidR="0000061F">
        <w:rPr>
          <w:rFonts w:cs="Times New Roman"/>
          <w:sz w:val="22"/>
          <w:lang w:val="en-US"/>
        </w:rPr>
        <w:t xml:space="preserve"> </w:t>
      </w:r>
      <w:proofErr w:type="spellStart"/>
      <w:r w:rsidR="0000061F">
        <w:rPr>
          <w:rFonts w:cs="Times New Roman"/>
          <w:sz w:val="22"/>
          <w:lang w:val="en-US"/>
        </w:rPr>
        <w:t>instalasi</w:t>
      </w:r>
      <w:proofErr w:type="spellEnd"/>
      <w:r w:rsidR="0000061F">
        <w:rPr>
          <w:rFonts w:cs="Times New Roman"/>
          <w:sz w:val="22"/>
          <w:lang w:val="en-US"/>
        </w:rPr>
        <w:t xml:space="preserve"> </w:t>
      </w:r>
      <w:proofErr w:type="spellStart"/>
      <w:r w:rsidR="0000061F">
        <w:rPr>
          <w:rFonts w:cs="Times New Roman"/>
          <w:sz w:val="22"/>
          <w:lang w:val="en-US"/>
        </w:rPr>
        <w:t>gawat</w:t>
      </w:r>
      <w:proofErr w:type="spellEnd"/>
      <w:r w:rsidR="0000061F">
        <w:rPr>
          <w:rFonts w:cs="Times New Roman"/>
          <w:sz w:val="22"/>
          <w:lang w:val="en-US"/>
        </w:rPr>
        <w:t xml:space="preserve"> </w:t>
      </w:r>
      <w:proofErr w:type="spellStart"/>
      <w:r w:rsidR="0000061F">
        <w:rPr>
          <w:rFonts w:cs="Times New Roman"/>
          <w:sz w:val="22"/>
          <w:lang w:val="en-US"/>
        </w:rPr>
        <w:t>darurat</w:t>
      </w:r>
      <w:proofErr w:type="spellEnd"/>
      <w:r w:rsidR="0000061F">
        <w:rPr>
          <w:rFonts w:cs="Times New Roman"/>
          <w:sz w:val="22"/>
          <w:lang w:val="en-US"/>
        </w:rPr>
        <w:t xml:space="preserve"> </w:t>
      </w:r>
      <w:r w:rsidR="0000061F">
        <w:rPr>
          <w:rFonts w:cs="Times New Roman"/>
          <w:sz w:val="22"/>
          <w:lang w:val="en-US"/>
        </w:rPr>
        <w:fldChar w:fldCharType="begin" w:fldLock="1"/>
      </w:r>
      <w:r w:rsidR="0000061F">
        <w:rPr>
          <w:rFonts w:cs="Times New Roman"/>
          <w:sz w:val="22"/>
          <w:lang w:val="en-US"/>
        </w:rPr>
        <w:instrText>ADDIN CSL_CITATION {"citationItems":[{"id":"ITEM-1","itemData":{"DOI":"10.2147/IJGM.S25936","ISSN":"11787074","abstract":"Evaluation of the emergency department patient with acute abdominal pain is sometimes difficult. Various factors can obscure the presentation, delaying or preventing the correct diagnosis, with subsequent adverse patient outcomes. Clinicians must consider multiple diagnoses, especially those life-threatening conditions that require timely intervention to limit morbidity and mortality. This article will review general information on abdominal pain and discuss the clinical approach by review of the history and the physical examination. Additionally, this article will discuss the approach to unstable patients with abdominal pain. © 2012 Macaluso and McNamara, publisher and licensee Dove Medical Press Ltd.","author":[{"dropping-particle":"","family":"Macaluso","given":"Christopher R.","non-dropping-particle":"","parse-names":false,"suffix":""},{"dropping-particle":"","family":"McNamara","given":"Robert M.","non-dropping-particle":"","parse-names":false,"suffix":""}],"container-title":"International Journal of General Medicine","id":"ITEM-1","issued":{"date-parts":[["2012"]]},"page":"789-797","title":"Evaluation and management of acute abdominal pain in the emergency department","type":"article-journal","volume":"5"},"uris":["http://www.mendeley.com/documents/?uuid=d6aa1193-51bb-493a-a7d4-3c2e208c0d5f"]}],"mendeley":{"formattedCitation":"(Macaluso &amp; McNamara, 2012)","plainTextFormattedCitation":"(Macaluso &amp; McNamara, 2012)","previouslyFormattedCitation":"(Macaluso &amp; McNamara, 2012)"},"properties":{"noteIndex":0},"schema":"https://github.com/citation-style-language/schema/raw/master/csl-citation.json"}</w:instrText>
      </w:r>
      <w:r w:rsidR="0000061F">
        <w:rPr>
          <w:rFonts w:cs="Times New Roman"/>
          <w:sz w:val="22"/>
          <w:lang w:val="en-US"/>
        </w:rPr>
        <w:fldChar w:fldCharType="separate"/>
      </w:r>
      <w:r w:rsidR="0000061F" w:rsidRPr="000240F3">
        <w:rPr>
          <w:rFonts w:cs="Times New Roman"/>
          <w:noProof/>
          <w:sz w:val="22"/>
          <w:lang w:val="en-US"/>
        </w:rPr>
        <w:t>(Macaluso &amp; McNamara, 2012)</w:t>
      </w:r>
      <w:r w:rsidR="0000061F">
        <w:rPr>
          <w:rFonts w:cs="Times New Roman"/>
          <w:sz w:val="22"/>
          <w:lang w:val="en-US"/>
        </w:rPr>
        <w:fldChar w:fldCharType="end"/>
      </w:r>
      <w:r w:rsidR="0000061F">
        <w:rPr>
          <w:rFonts w:cs="Times New Roman"/>
          <w:sz w:val="22"/>
          <w:lang w:val="en-US"/>
        </w:rPr>
        <w:t xml:space="preserve">. </w:t>
      </w:r>
      <w:proofErr w:type="spellStart"/>
      <w:r w:rsidR="0000061F">
        <w:rPr>
          <w:rFonts w:cs="Times New Roman"/>
          <w:sz w:val="22"/>
          <w:lang w:val="en-US"/>
        </w:rPr>
        <w:t>Kasus</w:t>
      </w:r>
      <w:proofErr w:type="spellEnd"/>
      <w:r w:rsidR="0000061F">
        <w:rPr>
          <w:rFonts w:cs="Times New Roman"/>
          <w:sz w:val="22"/>
          <w:lang w:val="en-US"/>
        </w:rPr>
        <w:t xml:space="preserve"> </w:t>
      </w:r>
      <w:proofErr w:type="spellStart"/>
      <w:r w:rsidR="0000061F">
        <w:rPr>
          <w:rFonts w:cs="Times New Roman"/>
          <w:sz w:val="22"/>
          <w:lang w:val="en-US"/>
        </w:rPr>
        <w:t>dari</w:t>
      </w:r>
      <w:proofErr w:type="spellEnd"/>
      <w:r w:rsidR="0000061F">
        <w:rPr>
          <w:rFonts w:cs="Times New Roman"/>
          <w:sz w:val="22"/>
          <w:lang w:val="en-US"/>
        </w:rPr>
        <w:t xml:space="preserve"> </w:t>
      </w:r>
      <w:proofErr w:type="spellStart"/>
      <w:r w:rsidR="0000061F">
        <w:rPr>
          <w:rFonts w:cs="Times New Roman"/>
          <w:sz w:val="22"/>
          <w:lang w:val="en-US"/>
        </w:rPr>
        <w:t>nyeri</w:t>
      </w:r>
      <w:proofErr w:type="spellEnd"/>
      <w:r w:rsidR="0000061F">
        <w:rPr>
          <w:rFonts w:cs="Times New Roman"/>
          <w:sz w:val="22"/>
          <w:lang w:val="en-US"/>
        </w:rPr>
        <w:t xml:space="preserve"> </w:t>
      </w:r>
      <w:proofErr w:type="spellStart"/>
      <w:r w:rsidR="0000061F">
        <w:rPr>
          <w:rFonts w:cs="Times New Roman"/>
          <w:sz w:val="22"/>
          <w:lang w:val="en-US"/>
        </w:rPr>
        <w:t>perut</w:t>
      </w:r>
      <w:proofErr w:type="spellEnd"/>
      <w:r w:rsidR="0000061F">
        <w:rPr>
          <w:rFonts w:cs="Times New Roman"/>
          <w:sz w:val="22"/>
          <w:lang w:val="en-US"/>
        </w:rPr>
        <w:t xml:space="preserve"> </w:t>
      </w:r>
      <w:proofErr w:type="spellStart"/>
      <w:r w:rsidR="0000061F">
        <w:rPr>
          <w:rFonts w:cs="Times New Roman"/>
          <w:sz w:val="22"/>
          <w:lang w:val="en-US"/>
        </w:rPr>
        <w:t>akut</w:t>
      </w:r>
      <w:proofErr w:type="spellEnd"/>
      <w:r w:rsidR="0000061F">
        <w:rPr>
          <w:rFonts w:cs="Times New Roman"/>
          <w:sz w:val="22"/>
          <w:lang w:val="en-US"/>
        </w:rPr>
        <w:t xml:space="preserve"> </w:t>
      </w:r>
      <w:proofErr w:type="spellStart"/>
      <w:r w:rsidR="0000061F">
        <w:rPr>
          <w:rFonts w:cs="Times New Roman"/>
          <w:sz w:val="22"/>
          <w:lang w:val="en-US"/>
        </w:rPr>
        <w:t>pada</w:t>
      </w:r>
      <w:proofErr w:type="spellEnd"/>
      <w:r w:rsidR="0000061F">
        <w:rPr>
          <w:rFonts w:cs="Times New Roman"/>
          <w:sz w:val="22"/>
          <w:lang w:val="en-US"/>
        </w:rPr>
        <w:t xml:space="preserve"> </w:t>
      </w:r>
      <w:proofErr w:type="spellStart"/>
      <w:r w:rsidR="0000061F">
        <w:rPr>
          <w:rFonts w:cs="Times New Roman"/>
          <w:sz w:val="22"/>
          <w:lang w:val="en-US"/>
        </w:rPr>
        <w:t>awalnya</w:t>
      </w:r>
      <w:proofErr w:type="spellEnd"/>
      <w:r w:rsidR="0000061F">
        <w:rPr>
          <w:rFonts w:cs="Times New Roman"/>
          <w:sz w:val="22"/>
          <w:lang w:val="en-US"/>
        </w:rPr>
        <w:t xml:space="preserve"> </w:t>
      </w:r>
      <w:proofErr w:type="spellStart"/>
      <w:r w:rsidR="0000061F">
        <w:rPr>
          <w:rFonts w:cs="Times New Roman"/>
          <w:sz w:val="22"/>
          <w:lang w:val="en-US"/>
        </w:rPr>
        <w:t>tidak</w:t>
      </w:r>
      <w:proofErr w:type="spellEnd"/>
      <w:r w:rsidR="0000061F">
        <w:rPr>
          <w:rFonts w:cs="Times New Roman"/>
          <w:sz w:val="22"/>
          <w:lang w:val="en-US"/>
        </w:rPr>
        <w:t xml:space="preserve"> </w:t>
      </w:r>
      <w:proofErr w:type="spellStart"/>
      <w:r w:rsidR="0000061F">
        <w:rPr>
          <w:rFonts w:cs="Times New Roman"/>
          <w:sz w:val="22"/>
          <w:lang w:val="en-US"/>
        </w:rPr>
        <w:t>menunjukan</w:t>
      </w:r>
      <w:proofErr w:type="spellEnd"/>
      <w:r w:rsidR="0000061F">
        <w:rPr>
          <w:rFonts w:cs="Times New Roman"/>
          <w:sz w:val="22"/>
          <w:lang w:val="en-US"/>
        </w:rPr>
        <w:t xml:space="preserve"> </w:t>
      </w:r>
      <w:proofErr w:type="spellStart"/>
      <w:r w:rsidR="0000061F">
        <w:rPr>
          <w:rFonts w:cs="Times New Roman"/>
          <w:sz w:val="22"/>
          <w:lang w:val="en-US"/>
        </w:rPr>
        <w:t>gejala</w:t>
      </w:r>
      <w:proofErr w:type="spellEnd"/>
      <w:r w:rsidR="0000061F">
        <w:rPr>
          <w:rFonts w:cs="Times New Roman"/>
          <w:sz w:val="22"/>
          <w:lang w:val="en-US"/>
        </w:rPr>
        <w:t xml:space="preserve"> yang </w:t>
      </w:r>
      <w:proofErr w:type="spellStart"/>
      <w:r w:rsidR="0000061F">
        <w:rPr>
          <w:rFonts w:cs="Times New Roman"/>
          <w:sz w:val="22"/>
          <w:lang w:val="en-US"/>
        </w:rPr>
        <w:t>spesifik</w:t>
      </w:r>
      <w:proofErr w:type="spellEnd"/>
      <w:r w:rsidR="0000061F">
        <w:rPr>
          <w:rFonts w:cs="Times New Roman"/>
          <w:sz w:val="22"/>
          <w:lang w:val="en-US"/>
        </w:rPr>
        <w:t xml:space="preserve"> </w:t>
      </w:r>
      <w:proofErr w:type="spellStart"/>
      <w:r w:rsidR="0000061F">
        <w:rPr>
          <w:rFonts w:cs="Times New Roman"/>
          <w:sz w:val="22"/>
          <w:lang w:val="en-US"/>
        </w:rPr>
        <w:t>dan</w:t>
      </w:r>
      <w:proofErr w:type="spellEnd"/>
      <w:r w:rsidR="0000061F">
        <w:rPr>
          <w:rFonts w:cs="Times New Roman"/>
          <w:sz w:val="22"/>
          <w:lang w:val="en-US"/>
        </w:rPr>
        <w:t xml:space="preserve"> </w:t>
      </w:r>
      <w:proofErr w:type="spellStart"/>
      <w:r w:rsidR="0000061F">
        <w:rPr>
          <w:rFonts w:cs="Times New Roman"/>
          <w:sz w:val="22"/>
          <w:lang w:val="en-US"/>
        </w:rPr>
        <w:t>seiring</w:t>
      </w:r>
      <w:proofErr w:type="spellEnd"/>
      <w:r w:rsidR="0000061F">
        <w:rPr>
          <w:rFonts w:cs="Times New Roman"/>
          <w:sz w:val="22"/>
          <w:lang w:val="en-US"/>
        </w:rPr>
        <w:t xml:space="preserve"> </w:t>
      </w:r>
      <w:proofErr w:type="spellStart"/>
      <w:r w:rsidR="0000061F">
        <w:rPr>
          <w:rFonts w:cs="Times New Roman"/>
          <w:sz w:val="22"/>
          <w:lang w:val="en-US"/>
        </w:rPr>
        <w:t>waktu</w:t>
      </w:r>
      <w:proofErr w:type="spellEnd"/>
      <w:r w:rsidR="0000061F">
        <w:rPr>
          <w:rFonts w:cs="Times New Roman"/>
          <w:sz w:val="22"/>
          <w:lang w:val="en-US"/>
        </w:rPr>
        <w:t xml:space="preserve"> </w:t>
      </w:r>
      <w:proofErr w:type="spellStart"/>
      <w:proofErr w:type="gramStart"/>
      <w:r w:rsidR="0000061F">
        <w:rPr>
          <w:rFonts w:cs="Times New Roman"/>
          <w:sz w:val="22"/>
          <w:lang w:val="en-US"/>
        </w:rPr>
        <w:t>akan</w:t>
      </w:r>
      <w:proofErr w:type="spellEnd"/>
      <w:proofErr w:type="gramEnd"/>
      <w:r w:rsidR="0000061F">
        <w:rPr>
          <w:rFonts w:cs="Times New Roman"/>
          <w:sz w:val="22"/>
          <w:lang w:val="en-US"/>
        </w:rPr>
        <w:t xml:space="preserve"> </w:t>
      </w:r>
      <w:proofErr w:type="spellStart"/>
      <w:r w:rsidR="0000061F">
        <w:rPr>
          <w:rFonts w:cs="Times New Roman"/>
          <w:sz w:val="22"/>
          <w:lang w:val="en-US"/>
        </w:rPr>
        <w:t>menimbulkan</w:t>
      </w:r>
      <w:proofErr w:type="spellEnd"/>
      <w:r w:rsidR="0000061F">
        <w:rPr>
          <w:rFonts w:cs="Times New Roman"/>
          <w:sz w:val="22"/>
          <w:lang w:val="en-US"/>
        </w:rPr>
        <w:t xml:space="preserve"> </w:t>
      </w:r>
      <w:proofErr w:type="spellStart"/>
      <w:r w:rsidR="0000061F">
        <w:rPr>
          <w:rFonts w:cs="Times New Roman"/>
          <w:sz w:val="22"/>
          <w:lang w:val="en-US"/>
        </w:rPr>
        <w:t>gejala</w:t>
      </w:r>
      <w:proofErr w:type="spellEnd"/>
      <w:r w:rsidR="0000061F">
        <w:rPr>
          <w:rFonts w:cs="Times New Roman"/>
          <w:sz w:val="22"/>
          <w:lang w:val="en-US"/>
        </w:rPr>
        <w:t xml:space="preserve"> yang </w:t>
      </w:r>
      <w:proofErr w:type="spellStart"/>
      <w:r w:rsidR="0000061F">
        <w:rPr>
          <w:rFonts w:cs="Times New Roman"/>
          <w:sz w:val="22"/>
          <w:lang w:val="en-US"/>
        </w:rPr>
        <w:t>lebih</w:t>
      </w:r>
      <w:proofErr w:type="spellEnd"/>
      <w:r w:rsidR="0000061F">
        <w:rPr>
          <w:rFonts w:cs="Times New Roman"/>
          <w:sz w:val="22"/>
          <w:lang w:val="en-US"/>
        </w:rPr>
        <w:t xml:space="preserve"> </w:t>
      </w:r>
      <w:proofErr w:type="spellStart"/>
      <w:r w:rsidR="0000061F">
        <w:rPr>
          <w:rFonts w:cs="Times New Roman"/>
          <w:sz w:val="22"/>
          <w:lang w:val="en-US"/>
        </w:rPr>
        <w:t>spesifik</w:t>
      </w:r>
      <w:proofErr w:type="spellEnd"/>
    </w:p>
    <w:p w:rsidR="0000061F" w:rsidRDefault="0000061F" w:rsidP="0000061F">
      <w:pPr>
        <w:pStyle w:val="ListParagraph"/>
        <w:numPr>
          <w:ilvl w:val="0"/>
          <w:numId w:val="2"/>
        </w:numPr>
        <w:spacing w:line="480" w:lineRule="auto"/>
        <w:rPr>
          <w:rFonts w:cs="Times New Roman"/>
          <w:sz w:val="22"/>
          <w:lang w:val="en-US"/>
        </w:rPr>
      </w:pPr>
      <w:proofErr w:type="spellStart"/>
      <w:r>
        <w:rPr>
          <w:rFonts w:cs="Times New Roman"/>
          <w:sz w:val="22"/>
          <w:lang w:val="en-US"/>
        </w:rPr>
        <w:t>Karakteristik</w:t>
      </w:r>
      <w:proofErr w:type="spellEnd"/>
      <w:r>
        <w:rPr>
          <w:rFonts w:cs="Times New Roman"/>
          <w:sz w:val="22"/>
          <w:lang w:val="en-US"/>
        </w:rPr>
        <w:t xml:space="preserve"> </w:t>
      </w:r>
      <w:proofErr w:type="spellStart"/>
      <w:r>
        <w:rPr>
          <w:rFonts w:cs="Times New Roman"/>
          <w:sz w:val="22"/>
          <w:lang w:val="en-US"/>
        </w:rPr>
        <w:t>Penggunaan</w:t>
      </w:r>
      <w:proofErr w:type="spellEnd"/>
      <w:r>
        <w:rPr>
          <w:rFonts w:cs="Times New Roman"/>
          <w:sz w:val="22"/>
          <w:lang w:val="en-US"/>
        </w:rPr>
        <w:t xml:space="preserve"> </w:t>
      </w:r>
      <w:proofErr w:type="spellStart"/>
      <w:r>
        <w:rPr>
          <w:rFonts w:cs="Times New Roman"/>
          <w:sz w:val="22"/>
          <w:lang w:val="en-US"/>
        </w:rPr>
        <w:t>Antibiotik</w:t>
      </w:r>
      <w:proofErr w:type="spellEnd"/>
    </w:p>
    <w:p w:rsidR="00A66D72" w:rsidRDefault="00A66D72" w:rsidP="00A66D72">
      <w:pPr>
        <w:pStyle w:val="ListParagraph"/>
        <w:spacing w:after="0" w:line="240" w:lineRule="auto"/>
        <w:ind w:left="366"/>
        <w:jc w:val="center"/>
        <w:rPr>
          <w:rFonts w:cs="Times New Roman"/>
          <w:sz w:val="22"/>
          <w:lang w:val="en-US"/>
        </w:rPr>
      </w:pPr>
      <w:proofErr w:type="spellStart"/>
      <w:proofErr w:type="gramStart"/>
      <w:r>
        <w:rPr>
          <w:rFonts w:cs="Times New Roman"/>
          <w:sz w:val="22"/>
          <w:lang w:val="en-US"/>
        </w:rPr>
        <w:t>Tabel</w:t>
      </w:r>
      <w:proofErr w:type="spellEnd"/>
      <w:r>
        <w:rPr>
          <w:rFonts w:cs="Times New Roman"/>
          <w:sz w:val="22"/>
          <w:lang w:val="en-US"/>
        </w:rPr>
        <w:t xml:space="preserve"> 4.</w:t>
      </w:r>
      <w:proofErr w:type="gramEnd"/>
      <w:r>
        <w:rPr>
          <w:rFonts w:cs="Times New Roman"/>
          <w:sz w:val="22"/>
          <w:lang w:val="en-US"/>
        </w:rPr>
        <w:t xml:space="preserve"> </w:t>
      </w:r>
      <w:r w:rsidRPr="008C7ECD">
        <w:rPr>
          <w:szCs w:val="24"/>
        </w:rPr>
        <w:t>Karakteristik Penggunaan Antibiotik</w:t>
      </w:r>
    </w:p>
    <w:tbl>
      <w:tblPr>
        <w:tblStyle w:val="TableGrid"/>
        <w:tblW w:w="0" w:type="auto"/>
        <w:jc w:val="center"/>
        <w:tblInd w:w="426" w:type="dxa"/>
        <w:tblBorders>
          <w:left w:val="none" w:sz="0" w:space="0" w:color="auto"/>
          <w:right w:val="none" w:sz="0" w:space="0" w:color="auto"/>
        </w:tblBorders>
        <w:tblLook w:val="04A0" w:firstRow="1" w:lastRow="0" w:firstColumn="1" w:lastColumn="0" w:noHBand="0" w:noVBand="1"/>
      </w:tblPr>
      <w:tblGrid>
        <w:gridCol w:w="2241"/>
        <w:gridCol w:w="1716"/>
        <w:gridCol w:w="1988"/>
        <w:gridCol w:w="2116"/>
      </w:tblGrid>
      <w:tr w:rsidR="0000061F" w:rsidTr="0000061F">
        <w:trPr>
          <w:trHeight w:val="362"/>
          <w:jc w:val="center"/>
        </w:trPr>
        <w:tc>
          <w:tcPr>
            <w:tcW w:w="2241" w:type="dxa"/>
            <w:vAlign w:val="center"/>
          </w:tcPr>
          <w:p w:rsidR="0000061F" w:rsidRPr="00E01030" w:rsidRDefault="0000061F" w:rsidP="00A66D72">
            <w:pPr>
              <w:jc w:val="center"/>
              <w:rPr>
                <w:rFonts w:cs="Times New Roman"/>
                <w:b/>
                <w:sz w:val="22"/>
                <w:lang w:val="en-US"/>
              </w:rPr>
            </w:pPr>
            <w:proofErr w:type="spellStart"/>
            <w:r w:rsidRPr="00E01030">
              <w:rPr>
                <w:rFonts w:cs="Times New Roman"/>
                <w:b/>
                <w:sz w:val="22"/>
                <w:lang w:val="en-US"/>
              </w:rPr>
              <w:t>Nama</w:t>
            </w:r>
            <w:proofErr w:type="spellEnd"/>
            <w:r w:rsidRPr="00E01030">
              <w:rPr>
                <w:rFonts w:cs="Times New Roman"/>
                <w:b/>
                <w:sz w:val="22"/>
                <w:lang w:val="en-US"/>
              </w:rPr>
              <w:t xml:space="preserve"> </w:t>
            </w:r>
            <w:proofErr w:type="spellStart"/>
            <w:r w:rsidRPr="00E01030">
              <w:rPr>
                <w:rFonts w:cs="Times New Roman"/>
                <w:b/>
                <w:sz w:val="22"/>
                <w:lang w:val="en-US"/>
              </w:rPr>
              <w:t>Antibiotik</w:t>
            </w:r>
            <w:proofErr w:type="spellEnd"/>
          </w:p>
        </w:tc>
        <w:tc>
          <w:tcPr>
            <w:tcW w:w="1716" w:type="dxa"/>
          </w:tcPr>
          <w:p w:rsidR="0000061F" w:rsidRPr="00E01030" w:rsidRDefault="0000061F" w:rsidP="00A66D72">
            <w:pPr>
              <w:jc w:val="center"/>
              <w:rPr>
                <w:rFonts w:cs="Times New Roman"/>
                <w:b/>
                <w:sz w:val="22"/>
                <w:lang w:val="en-US"/>
              </w:rPr>
            </w:pPr>
            <w:proofErr w:type="spellStart"/>
            <w:r>
              <w:rPr>
                <w:rFonts w:cs="Times New Roman"/>
                <w:b/>
                <w:sz w:val="22"/>
                <w:lang w:val="en-US"/>
              </w:rPr>
              <w:t>Golongan</w:t>
            </w:r>
            <w:proofErr w:type="spellEnd"/>
          </w:p>
        </w:tc>
        <w:tc>
          <w:tcPr>
            <w:tcW w:w="1988" w:type="dxa"/>
            <w:vAlign w:val="center"/>
          </w:tcPr>
          <w:p w:rsidR="0000061F" w:rsidRPr="00E01030" w:rsidRDefault="0000061F" w:rsidP="00A66D72">
            <w:pPr>
              <w:jc w:val="center"/>
              <w:rPr>
                <w:rFonts w:cs="Times New Roman"/>
                <w:b/>
                <w:sz w:val="22"/>
                <w:lang w:val="en-US"/>
              </w:rPr>
            </w:pPr>
            <w:proofErr w:type="spellStart"/>
            <w:r w:rsidRPr="00E01030">
              <w:rPr>
                <w:rFonts w:cs="Times New Roman"/>
                <w:b/>
                <w:sz w:val="22"/>
                <w:lang w:val="en-US"/>
              </w:rPr>
              <w:t>Jumlah</w:t>
            </w:r>
            <w:proofErr w:type="spellEnd"/>
          </w:p>
        </w:tc>
        <w:tc>
          <w:tcPr>
            <w:tcW w:w="2116" w:type="dxa"/>
            <w:vAlign w:val="center"/>
          </w:tcPr>
          <w:p w:rsidR="0000061F" w:rsidRPr="00E01030" w:rsidRDefault="0000061F" w:rsidP="00A66D72">
            <w:pPr>
              <w:jc w:val="center"/>
              <w:rPr>
                <w:rFonts w:cs="Times New Roman"/>
                <w:b/>
                <w:sz w:val="22"/>
                <w:lang w:val="en-US"/>
              </w:rPr>
            </w:pPr>
            <w:proofErr w:type="spellStart"/>
            <w:r w:rsidRPr="00E01030">
              <w:rPr>
                <w:rFonts w:cs="Times New Roman"/>
                <w:b/>
                <w:sz w:val="22"/>
                <w:lang w:val="en-US"/>
              </w:rPr>
              <w:t>Persentase</w:t>
            </w:r>
            <w:proofErr w:type="spellEnd"/>
            <w:r>
              <w:rPr>
                <w:rFonts w:cs="Times New Roman"/>
                <w:b/>
                <w:sz w:val="22"/>
                <w:lang w:val="en-US"/>
              </w:rPr>
              <w:t xml:space="preserve"> (%)</w:t>
            </w:r>
          </w:p>
        </w:tc>
      </w:tr>
      <w:tr w:rsidR="0000061F" w:rsidTr="0000061F">
        <w:trPr>
          <w:trHeight w:val="283"/>
          <w:jc w:val="center"/>
        </w:trPr>
        <w:tc>
          <w:tcPr>
            <w:tcW w:w="2241" w:type="dxa"/>
          </w:tcPr>
          <w:p w:rsidR="0000061F" w:rsidRPr="00E01030" w:rsidRDefault="0000061F" w:rsidP="00720797">
            <w:pPr>
              <w:jc w:val="center"/>
              <w:rPr>
                <w:rFonts w:cs="Times New Roman"/>
                <w:sz w:val="22"/>
                <w:lang w:val="en-US"/>
              </w:rPr>
            </w:pPr>
            <w:proofErr w:type="spellStart"/>
            <w:r w:rsidRPr="00E01030">
              <w:rPr>
                <w:rFonts w:cs="Times New Roman"/>
                <w:sz w:val="22"/>
                <w:lang w:val="en-US"/>
              </w:rPr>
              <w:t>Cefixime</w:t>
            </w:r>
            <w:proofErr w:type="spellEnd"/>
            <w:r w:rsidRPr="00E01030">
              <w:rPr>
                <w:rFonts w:cs="Times New Roman"/>
                <w:sz w:val="22"/>
                <w:lang w:val="en-US"/>
              </w:rPr>
              <w:t xml:space="preserve"> 100 mg</w:t>
            </w:r>
          </w:p>
        </w:tc>
        <w:tc>
          <w:tcPr>
            <w:tcW w:w="1716" w:type="dxa"/>
          </w:tcPr>
          <w:p w:rsidR="0000061F" w:rsidRPr="00E01030" w:rsidRDefault="0000061F" w:rsidP="00720797">
            <w:pPr>
              <w:jc w:val="center"/>
              <w:rPr>
                <w:rFonts w:cs="Times New Roman"/>
                <w:sz w:val="22"/>
                <w:lang w:val="en-US"/>
              </w:rPr>
            </w:pPr>
            <w:proofErr w:type="spellStart"/>
            <w:r>
              <w:rPr>
                <w:rFonts w:cs="Times New Roman"/>
                <w:sz w:val="22"/>
                <w:lang w:val="en-US"/>
              </w:rPr>
              <w:t>Sefalosporin</w:t>
            </w:r>
            <w:proofErr w:type="spellEnd"/>
            <w:r>
              <w:rPr>
                <w:rFonts w:cs="Times New Roman"/>
                <w:sz w:val="22"/>
                <w:lang w:val="en-US"/>
              </w:rPr>
              <w:t xml:space="preserve"> </w:t>
            </w:r>
            <w:proofErr w:type="spellStart"/>
            <w:r>
              <w:rPr>
                <w:rFonts w:cs="Times New Roman"/>
                <w:sz w:val="22"/>
                <w:lang w:val="en-US"/>
              </w:rPr>
              <w:t>generasi</w:t>
            </w:r>
            <w:proofErr w:type="spellEnd"/>
            <w:r>
              <w:rPr>
                <w:rFonts w:cs="Times New Roman"/>
                <w:sz w:val="22"/>
                <w:lang w:val="en-US"/>
              </w:rPr>
              <w:t xml:space="preserve"> 3</w:t>
            </w:r>
          </w:p>
        </w:tc>
        <w:tc>
          <w:tcPr>
            <w:tcW w:w="1988" w:type="dxa"/>
          </w:tcPr>
          <w:p w:rsidR="0000061F" w:rsidRPr="00E01030" w:rsidRDefault="0000061F" w:rsidP="00720797">
            <w:pPr>
              <w:jc w:val="center"/>
              <w:rPr>
                <w:rFonts w:cs="Times New Roman"/>
                <w:sz w:val="22"/>
                <w:lang w:val="en-US"/>
              </w:rPr>
            </w:pPr>
            <w:r w:rsidRPr="00E01030">
              <w:rPr>
                <w:rFonts w:cs="Times New Roman"/>
                <w:sz w:val="22"/>
                <w:lang w:val="en-US"/>
              </w:rPr>
              <w:t>16</w:t>
            </w:r>
          </w:p>
        </w:tc>
        <w:tc>
          <w:tcPr>
            <w:tcW w:w="2116" w:type="dxa"/>
          </w:tcPr>
          <w:p w:rsidR="0000061F" w:rsidRPr="00E01030" w:rsidRDefault="0000061F" w:rsidP="00720797">
            <w:pPr>
              <w:jc w:val="center"/>
              <w:rPr>
                <w:rFonts w:cs="Times New Roman"/>
                <w:sz w:val="22"/>
                <w:lang w:val="en-US"/>
              </w:rPr>
            </w:pPr>
            <w:r>
              <w:rPr>
                <w:rFonts w:cs="Times New Roman"/>
                <w:sz w:val="22"/>
                <w:lang w:val="en-US"/>
              </w:rPr>
              <w:t>26,67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E01030">
              <w:rPr>
                <w:rFonts w:cs="Times New Roman"/>
                <w:sz w:val="22"/>
                <w:lang w:val="en-US"/>
              </w:rPr>
              <w:t>cefadroxil</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Sefalosporin</w:t>
            </w:r>
            <w:proofErr w:type="spellEnd"/>
            <w:r>
              <w:rPr>
                <w:rFonts w:cs="Times New Roman"/>
                <w:sz w:val="22"/>
                <w:lang w:val="en-US"/>
              </w:rPr>
              <w:t xml:space="preserve"> </w:t>
            </w:r>
            <w:proofErr w:type="spellStart"/>
            <w:r>
              <w:rPr>
                <w:rFonts w:cs="Times New Roman"/>
                <w:sz w:val="22"/>
                <w:lang w:val="en-US"/>
              </w:rPr>
              <w:t>generasi</w:t>
            </w:r>
            <w:proofErr w:type="spellEnd"/>
            <w:r>
              <w:rPr>
                <w:rFonts w:cs="Times New Roman"/>
                <w:sz w:val="22"/>
                <w:lang w:val="en-US"/>
              </w:rPr>
              <w:t xml:space="preserve"> 1</w:t>
            </w:r>
          </w:p>
        </w:tc>
        <w:tc>
          <w:tcPr>
            <w:tcW w:w="1988" w:type="dxa"/>
          </w:tcPr>
          <w:p w:rsidR="0000061F" w:rsidRPr="00E01030" w:rsidRDefault="0000061F" w:rsidP="00720797">
            <w:pPr>
              <w:jc w:val="center"/>
              <w:rPr>
                <w:rFonts w:cs="Times New Roman"/>
                <w:sz w:val="22"/>
                <w:lang w:val="en-US"/>
              </w:rPr>
            </w:pPr>
            <w:r>
              <w:rPr>
                <w:rFonts w:cs="Times New Roman"/>
                <w:sz w:val="22"/>
                <w:lang w:val="en-US"/>
              </w:rPr>
              <w:t>13</w:t>
            </w:r>
          </w:p>
        </w:tc>
        <w:tc>
          <w:tcPr>
            <w:tcW w:w="2116" w:type="dxa"/>
          </w:tcPr>
          <w:p w:rsidR="0000061F" w:rsidRPr="00E01030" w:rsidRDefault="0000061F" w:rsidP="00720797">
            <w:pPr>
              <w:jc w:val="center"/>
              <w:rPr>
                <w:rFonts w:cs="Times New Roman"/>
                <w:sz w:val="22"/>
                <w:lang w:val="en-US"/>
              </w:rPr>
            </w:pPr>
            <w:r>
              <w:rPr>
                <w:rFonts w:cs="Times New Roman"/>
                <w:sz w:val="22"/>
                <w:lang w:val="en-US"/>
              </w:rPr>
              <w:t>21,67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Ciprofloxasin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Floroquinolon</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8</w:t>
            </w:r>
          </w:p>
        </w:tc>
        <w:tc>
          <w:tcPr>
            <w:tcW w:w="2116" w:type="dxa"/>
          </w:tcPr>
          <w:p w:rsidR="0000061F" w:rsidRPr="00E01030" w:rsidRDefault="0000061F" w:rsidP="00720797">
            <w:pPr>
              <w:jc w:val="center"/>
              <w:rPr>
                <w:rFonts w:cs="Times New Roman"/>
                <w:sz w:val="22"/>
                <w:lang w:val="en-US"/>
              </w:rPr>
            </w:pPr>
            <w:r w:rsidRPr="00E01030">
              <w:rPr>
                <w:rFonts w:cs="Times New Roman"/>
                <w:sz w:val="22"/>
                <w:lang w:val="en-US"/>
              </w:rPr>
              <w:t>13</w:t>
            </w:r>
            <w:r>
              <w:rPr>
                <w:rFonts w:cs="Times New Roman"/>
                <w:sz w:val="22"/>
                <w:lang w:val="en-US"/>
              </w:rPr>
              <w:t>,33</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cefixime</w:t>
            </w:r>
            <w:proofErr w:type="spellEnd"/>
            <w:r w:rsidRPr="008A4F4B">
              <w:rPr>
                <w:rFonts w:cs="Times New Roman"/>
                <w:sz w:val="22"/>
                <w:lang w:val="en-US"/>
              </w:rPr>
              <w:t xml:space="preserve"> 200 mg</w:t>
            </w:r>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Sefalosporin</w:t>
            </w:r>
            <w:proofErr w:type="spellEnd"/>
            <w:r>
              <w:rPr>
                <w:rFonts w:cs="Times New Roman"/>
                <w:sz w:val="22"/>
                <w:lang w:val="en-US"/>
              </w:rPr>
              <w:t xml:space="preserve"> </w:t>
            </w:r>
            <w:proofErr w:type="spellStart"/>
            <w:r>
              <w:rPr>
                <w:rFonts w:cs="Times New Roman"/>
                <w:sz w:val="22"/>
                <w:lang w:val="en-US"/>
              </w:rPr>
              <w:t>generasi</w:t>
            </w:r>
            <w:proofErr w:type="spellEnd"/>
            <w:r>
              <w:rPr>
                <w:rFonts w:cs="Times New Roman"/>
                <w:sz w:val="22"/>
                <w:lang w:val="en-US"/>
              </w:rPr>
              <w:t xml:space="preserve"> 3</w:t>
            </w:r>
          </w:p>
        </w:tc>
        <w:tc>
          <w:tcPr>
            <w:tcW w:w="1988" w:type="dxa"/>
          </w:tcPr>
          <w:p w:rsidR="0000061F" w:rsidRPr="00E01030" w:rsidRDefault="0000061F" w:rsidP="00720797">
            <w:pPr>
              <w:jc w:val="center"/>
              <w:rPr>
                <w:rFonts w:cs="Times New Roman"/>
                <w:sz w:val="22"/>
                <w:lang w:val="en-US"/>
              </w:rPr>
            </w:pPr>
            <w:r>
              <w:rPr>
                <w:rFonts w:cs="Times New Roman"/>
                <w:sz w:val="22"/>
                <w:lang w:val="en-US"/>
              </w:rPr>
              <w:t>7</w:t>
            </w:r>
          </w:p>
        </w:tc>
        <w:tc>
          <w:tcPr>
            <w:tcW w:w="2116" w:type="dxa"/>
          </w:tcPr>
          <w:p w:rsidR="0000061F" w:rsidRPr="00E01030" w:rsidRDefault="0000061F" w:rsidP="00720797">
            <w:pPr>
              <w:jc w:val="center"/>
              <w:rPr>
                <w:rFonts w:cs="Times New Roman"/>
                <w:sz w:val="22"/>
                <w:lang w:val="en-US"/>
              </w:rPr>
            </w:pPr>
            <w:r>
              <w:rPr>
                <w:rFonts w:cs="Times New Roman"/>
                <w:sz w:val="22"/>
                <w:lang w:val="en-US"/>
              </w:rPr>
              <w:t>11,67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Azitromisin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Makrolida</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4</w:t>
            </w:r>
          </w:p>
        </w:tc>
        <w:tc>
          <w:tcPr>
            <w:tcW w:w="2116" w:type="dxa"/>
          </w:tcPr>
          <w:p w:rsidR="0000061F" w:rsidRPr="00E01030" w:rsidRDefault="0000061F" w:rsidP="00720797">
            <w:pPr>
              <w:jc w:val="center"/>
              <w:rPr>
                <w:rFonts w:cs="Times New Roman"/>
                <w:sz w:val="22"/>
                <w:lang w:val="en-US"/>
              </w:rPr>
            </w:pPr>
            <w:r>
              <w:rPr>
                <w:rFonts w:cs="Times New Roman"/>
                <w:sz w:val="22"/>
                <w:lang w:val="en-US"/>
              </w:rPr>
              <w:t>6,67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r w:rsidRPr="008A4F4B">
              <w:rPr>
                <w:rFonts w:cs="Times New Roman"/>
                <w:sz w:val="22"/>
                <w:lang w:val="en-US"/>
              </w:rPr>
              <w:t>Metronidazole</w:t>
            </w:r>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Nitromidazole</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3</w:t>
            </w:r>
          </w:p>
        </w:tc>
        <w:tc>
          <w:tcPr>
            <w:tcW w:w="2116" w:type="dxa"/>
          </w:tcPr>
          <w:p w:rsidR="0000061F" w:rsidRPr="00E01030" w:rsidRDefault="0000061F" w:rsidP="00720797">
            <w:pPr>
              <w:jc w:val="center"/>
              <w:rPr>
                <w:rFonts w:cs="Times New Roman"/>
                <w:sz w:val="22"/>
                <w:lang w:val="en-US"/>
              </w:rPr>
            </w:pPr>
            <w:r>
              <w:rPr>
                <w:rFonts w:cs="Times New Roman"/>
                <w:sz w:val="22"/>
                <w:lang w:val="en-US"/>
              </w:rPr>
              <w:t>5,00</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neomisin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Aminoglikosida</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3</w:t>
            </w:r>
          </w:p>
        </w:tc>
        <w:tc>
          <w:tcPr>
            <w:tcW w:w="2116" w:type="dxa"/>
          </w:tcPr>
          <w:p w:rsidR="0000061F" w:rsidRPr="00E01030" w:rsidRDefault="0000061F" w:rsidP="00720797">
            <w:pPr>
              <w:jc w:val="center"/>
              <w:rPr>
                <w:rFonts w:cs="Times New Roman"/>
                <w:sz w:val="22"/>
                <w:lang w:val="en-US"/>
              </w:rPr>
            </w:pPr>
            <w:r>
              <w:rPr>
                <w:rFonts w:cs="Times New Roman"/>
                <w:sz w:val="22"/>
                <w:lang w:val="en-US"/>
              </w:rPr>
              <w:t>5,00</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Gentamisin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Aminoglikosida</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2</w:t>
            </w:r>
          </w:p>
        </w:tc>
        <w:tc>
          <w:tcPr>
            <w:tcW w:w="2116" w:type="dxa"/>
          </w:tcPr>
          <w:p w:rsidR="0000061F" w:rsidRPr="00E01030" w:rsidRDefault="0000061F" w:rsidP="00720797">
            <w:pPr>
              <w:jc w:val="center"/>
              <w:rPr>
                <w:rFonts w:cs="Times New Roman"/>
                <w:sz w:val="22"/>
                <w:lang w:val="en-US"/>
              </w:rPr>
            </w:pPr>
            <w:r>
              <w:rPr>
                <w:rFonts w:cs="Times New Roman"/>
                <w:sz w:val="22"/>
                <w:lang w:val="en-US"/>
              </w:rPr>
              <w:t>3,33</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Levofloxasin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Floroquinolon</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2</w:t>
            </w:r>
          </w:p>
        </w:tc>
        <w:tc>
          <w:tcPr>
            <w:tcW w:w="2116" w:type="dxa"/>
          </w:tcPr>
          <w:p w:rsidR="0000061F" w:rsidRPr="00E01030" w:rsidRDefault="0000061F" w:rsidP="00720797">
            <w:pPr>
              <w:jc w:val="center"/>
              <w:rPr>
                <w:rFonts w:cs="Times New Roman"/>
                <w:sz w:val="22"/>
                <w:lang w:val="en-US"/>
              </w:rPr>
            </w:pPr>
            <w:r w:rsidRPr="00E01030">
              <w:rPr>
                <w:rFonts w:cs="Times New Roman"/>
                <w:sz w:val="22"/>
                <w:lang w:val="en-US"/>
              </w:rPr>
              <w:t>3</w:t>
            </w:r>
            <w:r>
              <w:rPr>
                <w:rFonts w:cs="Times New Roman"/>
                <w:sz w:val="22"/>
                <w:lang w:val="en-US"/>
              </w:rPr>
              <w:t>,33</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lastRenderedPageBreak/>
              <w:t>amoxicilin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Penisilin</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1</w:t>
            </w:r>
          </w:p>
        </w:tc>
        <w:tc>
          <w:tcPr>
            <w:tcW w:w="2116" w:type="dxa"/>
          </w:tcPr>
          <w:p w:rsidR="0000061F" w:rsidRPr="00E01030" w:rsidRDefault="0000061F" w:rsidP="00720797">
            <w:pPr>
              <w:jc w:val="center"/>
              <w:rPr>
                <w:rFonts w:cs="Times New Roman"/>
                <w:sz w:val="22"/>
                <w:lang w:val="en-US"/>
              </w:rPr>
            </w:pPr>
            <w:r>
              <w:rPr>
                <w:rFonts w:cs="Times New Roman"/>
                <w:sz w:val="22"/>
                <w:lang w:val="en-US"/>
              </w:rPr>
              <w:t>1,67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proofErr w:type="spellStart"/>
            <w:r w:rsidRPr="008A4F4B">
              <w:rPr>
                <w:rFonts w:cs="Times New Roman"/>
                <w:sz w:val="22"/>
                <w:lang w:val="en-US"/>
              </w:rPr>
              <w:t>Oxytetrasiclin</w:t>
            </w:r>
            <w:proofErr w:type="spellEnd"/>
          </w:p>
        </w:tc>
        <w:tc>
          <w:tcPr>
            <w:tcW w:w="1716" w:type="dxa"/>
          </w:tcPr>
          <w:p w:rsidR="0000061F" w:rsidRDefault="0000061F" w:rsidP="00720797">
            <w:pPr>
              <w:jc w:val="center"/>
              <w:rPr>
                <w:rFonts w:cs="Times New Roman"/>
                <w:sz w:val="22"/>
                <w:lang w:val="en-US"/>
              </w:rPr>
            </w:pPr>
            <w:proofErr w:type="spellStart"/>
            <w:r>
              <w:rPr>
                <w:rFonts w:cs="Times New Roman"/>
                <w:sz w:val="22"/>
                <w:lang w:val="en-US"/>
              </w:rPr>
              <w:t>Tetrasiklin</w:t>
            </w:r>
            <w:proofErr w:type="spellEnd"/>
          </w:p>
        </w:tc>
        <w:tc>
          <w:tcPr>
            <w:tcW w:w="1988" w:type="dxa"/>
          </w:tcPr>
          <w:p w:rsidR="0000061F" w:rsidRPr="00E01030" w:rsidRDefault="0000061F" w:rsidP="00720797">
            <w:pPr>
              <w:jc w:val="center"/>
              <w:rPr>
                <w:rFonts w:cs="Times New Roman"/>
                <w:sz w:val="22"/>
                <w:lang w:val="en-US"/>
              </w:rPr>
            </w:pPr>
            <w:r>
              <w:rPr>
                <w:rFonts w:cs="Times New Roman"/>
                <w:sz w:val="22"/>
                <w:lang w:val="en-US"/>
              </w:rPr>
              <w:t>1</w:t>
            </w:r>
          </w:p>
        </w:tc>
        <w:tc>
          <w:tcPr>
            <w:tcW w:w="2116" w:type="dxa"/>
          </w:tcPr>
          <w:p w:rsidR="0000061F" w:rsidRPr="00E01030" w:rsidRDefault="0000061F" w:rsidP="00720797">
            <w:pPr>
              <w:jc w:val="center"/>
              <w:rPr>
                <w:rFonts w:cs="Times New Roman"/>
                <w:sz w:val="22"/>
                <w:lang w:val="en-US"/>
              </w:rPr>
            </w:pPr>
            <w:r>
              <w:rPr>
                <w:rFonts w:cs="Times New Roman"/>
                <w:sz w:val="22"/>
                <w:lang w:val="en-US"/>
              </w:rPr>
              <w:t>1,67</w:t>
            </w:r>
          </w:p>
        </w:tc>
      </w:tr>
      <w:tr w:rsidR="0000061F" w:rsidTr="0000061F">
        <w:trPr>
          <w:trHeight w:val="292"/>
          <w:jc w:val="center"/>
        </w:trPr>
        <w:tc>
          <w:tcPr>
            <w:tcW w:w="2241" w:type="dxa"/>
          </w:tcPr>
          <w:p w:rsidR="0000061F" w:rsidRPr="00E01030" w:rsidRDefault="0000061F" w:rsidP="00720797">
            <w:pPr>
              <w:jc w:val="center"/>
              <w:rPr>
                <w:rFonts w:cs="Times New Roman"/>
                <w:sz w:val="22"/>
                <w:lang w:val="en-US"/>
              </w:rPr>
            </w:pPr>
            <w:r>
              <w:rPr>
                <w:rFonts w:cs="Times New Roman"/>
                <w:sz w:val="22"/>
                <w:lang w:val="en-US"/>
              </w:rPr>
              <w:t>Total</w:t>
            </w:r>
          </w:p>
        </w:tc>
        <w:tc>
          <w:tcPr>
            <w:tcW w:w="1716" w:type="dxa"/>
          </w:tcPr>
          <w:p w:rsidR="0000061F" w:rsidRDefault="0000061F" w:rsidP="00720797">
            <w:pPr>
              <w:jc w:val="center"/>
              <w:rPr>
                <w:rFonts w:cs="Times New Roman"/>
                <w:sz w:val="22"/>
                <w:lang w:val="en-US"/>
              </w:rPr>
            </w:pPr>
          </w:p>
        </w:tc>
        <w:tc>
          <w:tcPr>
            <w:tcW w:w="1988" w:type="dxa"/>
          </w:tcPr>
          <w:p w:rsidR="0000061F" w:rsidRPr="00E01030" w:rsidRDefault="0000061F" w:rsidP="00720797">
            <w:pPr>
              <w:jc w:val="center"/>
              <w:rPr>
                <w:rFonts w:cs="Times New Roman"/>
                <w:sz w:val="22"/>
                <w:lang w:val="en-US"/>
              </w:rPr>
            </w:pPr>
            <w:r>
              <w:rPr>
                <w:rFonts w:cs="Times New Roman"/>
                <w:sz w:val="22"/>
                <w:lang w:val="en-US"/>
              </w:rPr>
              <w:t>60</w:t>
            </w:r>
          </w:p>
        </w:tc>
        <w:tc>
          <w:tcPr>
            <w:tcW w:w="2116" w:type="dxa"/>
          </w:tcPr>
          <w:p w:rsidR="0000061F" w:rsidRPr="00E01030" w:rsidRDefault="0000061F" w:rsidP="00720797">
            <w:pPr>
              <w:jc w:val="center"/>
              <w:rPr>
                <w:rFonts w:cs="Times New Roman"/>
                <w:sz w:val="22"/>
                <w:lang w:val="en-US"/>
              </w:rPr>
            </w:pPr>
            <w:r>
              <w:rPr>
                <w:rFonts w:cs="Times New Roman"/>
                <w:sz w:val="22"/>
                <w:lang w:val="en-US"/>
              </w:rPr>
              <w:t>100</w:t>
            </w:r>
          </w:p>
        </w:tc>
      </w:tr>
    </w:tbl>
    <w:p w:rsidR="0000061F" w:rsidRPr="0000061F" w:rsidRDefault="0000061F" w:rsidP="0000061F">
      <w:pPr>
        <w:pStyle w:val="ListParagraph"/>
        <w:spacing w:line="480" w:lineRule="auto"/>
        <w:ind w:left="366"/>
        <w:rPr>
          <w:rFonts w:cs="Times New Roman"/>
          <w:sz w:val="22"/>
          <w:lang w:val="en-US"/>
        </w:rPr>
      </w:pPr>
    </w:p>
    <w:p w:rsidR="0000061F" w:rsidRDefault="00A66D72" w:rsidP="0000061F">
      <w:pPr>
        <w:pStyle w:val="ListParagraph"/>
        <w:spacing w:before="6" w:after="0" w:line="360" w:lineRule="auto"/>
        <w:ind w:left="366" w:right="4" w:firstLine="354"/>
        <w:rPr>
          <w:i/>
          <w:lang w:val="en-US"/>
        </w:rPr>
      </w:pPr>
      <w:r>
        <w:rPr>
          <w:lang w:val="en-US"/>
        </w:rPr>
        <w:t xml:space="preserve">Dari </w:t>
      </w:r>
      <w:proofErr w:type="spellStart"/>
      <w:r>
        <w:rPr>
          <w:lang w:val="en-US"/>
        </w:rPr>
        <w:t>tabel</w:t>
      </w:r>
      <w:proofErr w:type="spellEnd"/>
      <w:r>
        <w:rPr>
          <w:lang w:val="en-US"/>
        </w:rPr>
        <w:t xml:space="preserve"> 4, </w:t>
      </w:r>
      <w:proofErr w:type="spellStart"/>
      <w:r>
        <w:rPr>
          <w:lang w:val="en-US"/>
        </w:rPr>
        <w:t>d</w:t>
      </w:r>
      <w:r w:rsidR="0000061F">
        <w:rPr>
          <w:lang w:val="en-US"/>
        </w:rPr>
        <w:t>apat</w:t>
      </w:r>
      <w:proofErr w:type="spellEnd"/>
      <w:r w:rsidR="0000061F">
        <w:rPr>
          <w:lang w:val="en-US"/>
        </w:rPr>
        <w:t xml:space="preserve"> </w:t>
      </w:r>
      <w:proofErr w:type="spellStart"/>
      <w:r w:rsidR="0000061F">
        <w:rPr>
          <w:lang w:val="en-US"/>
        </w:rPr>
        <w:t>dilihat</w:t>
      </w:r>
      <w:proofErr w:type="spellEnd"/>
      <w:r w:rsidR="0000061F">
        <w:rPr>
          <w:lang w:val="en-US"/>
        </w:rPr>
        <w:t xml:space="preserve"> </w:t>
      </w:r>
      <w:proofErr w:type="spellStart"/>
      <w:r w:rsidR="0000061F">
        <w:rPr>
          <w:lang w:val="en-US"/>
        </w:rPr>
        <w:t>bahwa</w:t>
      </w:r>
      <w:proofErr w:type="spellEnd"/>
      <w:r w:rsidR="0000061F">
        <w:rPr>
          <w:lang w:val="en-US"/>
        </w:rPr>
        <w:t xml:space="preserve"> </w:t>
      </w:r>
      <w:proofErr w:type="spellStart"/>
      <w:r w:rsidR="0000061F">
        <w:rPr>
          <w:lang w:val="en-US"/>
        </w:rPr>
        <w:t>antibiotik</w:t>
      </w:r>
      <w:proofErr w:type="spellEnd"/>
      <w:r w:rsidR="0000061F">
        <w:rPr>
          <w:lang w:val="en-US"/>
        </w:rPr>
        <w:t xml:space="preserve"> yang paling </w:t>
      </w:r>
      <w:proofErr w:type="spellStart"/>
      <w:r w:rsidR="0000061F">
        <w:rPr>
          <w:lang w:val="en-US"/>
        </w:rPr>
        <w:t>diresepkan</w:t>
      </w:r>
      <w:proofErr w:type="spellEnd"/>
      <w:r w:rsidR="0000061F">
        <w:rPr>
          <w:lang w:val="en-US"/>
        </w:rPr>
        <w:t xml:space="preserve"> </w:t>
      </w:r>
      <w:proofErr w:type="spellStart"/>
      <w:r w:rsidR="0000061F">
        <w:rPr>
          <w:lang w:val="en-US"/>
        </w:rPr>
        <w:t>ialah</w:t>
      </w:r>
      <w:proofErr w:type="spellEnd"/>
      <w:r w:rsidR="0000061F">
        <w:rPr>
          <w:lang w:val="en-US"/>
        </w:rPr>
        <w:t xml:space="preserve"> </w:t>
      </w:r>
      <w:proofErr w:type="spellStart"/>
      <w:r w:rsidR="0000061F">
        <w:rPr>
          <w:lang w:val="en-US"/>
        </w:rPr>
        <w:t>cefixime</w:t>
      </w:r>
      <w:proofErr w:type="spellEnd"/>
      <w:r w:rsidR="0000061F">
        <w:rPr>
          <w:lang w:val="en-US"/>
        </w:rPr>
        <w:t xml:space="preserve"> 100 mg </w:t>
      </w:r>
      <w:proofErr w:type="spellStart"/>
      <w:r w:rsidR="0000061F">
        <w:rPr>
          <w:lang w:val="en-US"/>
        </w:rPr>
        <w:t>dengan</w:t>
      </w:r>
      <w:proofErr w:type="spellEnd"/>
      <w:r w:rsidR="0000061F">
        <w:rPr>
          <w:lang w:val="en-US"/>
        </w:rPr>
        <w:t xml:space="preserve"> </w:t>
      </w:r>
      <w:proofErr w:type="spellStart"/>
      <w:r w:rsidR="0000061F">
        <w:rPr>
          <w:lang w:val="en-US"/>
        </w:rPr>
        <w:t>jumlah</w:t>
      </w:r>
      <w:proofErr w:type="spellEnd"/>
      <w:r w:rsidR="0000061F">
        <w:rPr>
          <w:lang w:val="en-US"/>
        </w:rPr>
        <w:t xml:space="preserve"> </w:t>
      </w:r>
      <w:proofErr w:type="spellStart"/>
      <w:r w:rsidR="0000061F">
        <w:rPr>
          <w:lang w:val="en-US"/>
        </w:rPr>
        <w:t>peresepan</w:t>
      </w:r>
      <w:proofErr w:type="spellEnd"/>
      <w:r w:rsidR="0000061F">
        <w:rPr>
          <w:lang w:val="en-US"/>
        </w:rPr>
        <w:t xml:space="preserve"> </w:t>
      </w:r>
      <w:proofErr w:type="spellStart"/>
      <w:r w:rsidR="0000061F">
        <w:rPr>
          <w:lang w:val="en-US"/>
        </w:rPr>
        <w:t>mencapai</w:t>
      </w:r>
      <w:proofErr w:type="spellEnd"/>
      <w:r w:rsidR="0000061F">
        <w:rPr>
          <w:lang w:val="en-US"/>
        </w:rPr>
        <w:t xml:space="preserve"> 16 </w:t>
      </w:r>
      <w:proofErr w:type="spellStart"/>
      <w:r w:rsidR="0000061F">
        <w:rPr>
          <w:lang w:val="en-US"/>
        </w:rPr>
        <w:t>resep</w:t>
      </w:r>
      <w:proofErr w:type="spellEnd"/>
      <w:r w:rsidR="0000061F">
        <w:rPr>
          <w:lang w:val="en-US"/>
        </w:rPr>
        <w:t xml:space="preserve"> </w:t>
      </w:r>
      <w:proofErr w:type="spellStart"/>
      <w:r w:rsidR="0000061F">
        <w:rPr>
          <w:lang w:val="en-US"/>
        </w:rPr>
        <w:t>dengan</w:t>
      </w:r>
      <w:proofErr w:type="spellEnd"/>
      <w:r w:rsidR="0000061F">
        <w:rPr>
          <w:lang w:val="en-US"/>
        </w:rPr>
        <w:t xml:space="preserve"> </w:t>
      </w:r>
      <w:proofErr w:type="spellStart"/>
      <w:r w:rsidR="0000061F">
        <w:rPr>
          <w:lang w:val="en-US"/>
        </w:rPr>
        <w:t>persentase</w:t>
      </w:r>
      <w:proofErr w:type="spellEnd"/>
      <w:r w:rsidR="0000061F">
        <w:rPr>
          <w:lang w:val="en-US"/>
        </w:rPr>
        <w:t xml:space="preserve"> 18,39%. </w:t>
      </w:r>
      <w:proofErr w:type="spellStart"/>
      <w:r w:rsidR="0000061F">
        <w:rPr>
          <w:lang w:val="en-US"/>
        </w:rPr>
        <w:t>Tingginya</w:t>
      </w:r>
      <w:proofErr w:type="spellEnd"/>
      <w:r w:rsidR="0000061F">
        <w:rPr>
          <w:lang w:val="en-US"/>
        </w:rPr>
        <w:t xml:space="preserve"> </w:t>
      </w:r>
      <w:proofErr w:type="spellStart"/>
      <w:r w:rsidR="0000061F">
        <w:rPr>
          <w:lang w:val="en-US"/>
        </w:rPr>
        <w:t>peresepan</w:t>
      </w:r>
      <w:proofErr w:type="spellEnd"/>
      <w:r w:rsidR="0000061F">
        <w:rPr>
          <w:lang w:val="en-US"/>
        </w:rPr>
        <w:t xml:space="preserve"> </w:t>
      </w:r>
      <w:proofErr w:type="spellStart"/>
      <w:r w:rsidR="0000061F">
        <w:rPr>
          <w:lang w:val="en-US"/>
        </w:rPr>
        <w:t>cefixime</w:t>
      </w:r>
      <w:proofErr w:type="spellEnd"/>
      <w:r w:rsidR="0000061F">
        <w:rPr>
          <w:lang w:val="en-US"/>
        </w:rPr>
        <w:t xml:space="preserve"> </w:t>
      </w:r>
      <w:proofErr w:type="spellStart"/>
      <w:r w:rsidR="0000061F">
        <w:rPr>
          <w:lang w:val="en-US"/>
        </w:rPr>
        <w:t>termasuk</w:t>
      </w:r>
      <w:proofErr w:type="spellEnd"/>
      <w:r w:rsidR="0000061F">
        <w:rPr>
          <w:lang w:val="en-US"/>
        </w:rPr>
        <w:t xml:space="preserve"> </w:t>
      </w:r>
      <w:proofErr w:type="spellStart"/>
      <w:r w:rsidR="0000061F">
        <w:rPr>
          <w:lang w:val="en-US"/>
        </w:rPr>
        <w:t>dalam</w:t>
      </w:r>
      <w:proofErr w:type="spellEnd"/>
      <w:r w:rsidR="0000061F">
        <w:rPr>
          <w:lang w:val="en-US"/>
        </w:rPr>
        <w:t xml:space="preserve"> </w:t>
      </w:r>
      <w:proofErr w:type="spellStart"/>
      <w:r w:rsidR="0000061F">
        <w:rPr>
          <w:lang w:val="en-US"/>
        </w:rPr>
        <w:t>golongan</w:t>
      </w:r>
      <w:proofErr w:type="spellEnd"/>
      <w:r w:rsidR="0000061F">
        <w:rPr>
          <w:lang w:val="en-US"/>
        </w:rPr>
        <w:t xml:space="preserve"> </w:t>
      </w:r>
      <w:proofErr w:type="spellStart"/>
      <w:r w:rsidR="0000061F">
        <w:rPr>
          <w:lang w:val="en-US"/>
        </w:rPr>
        <w:t>sefalosporin</w:t>
      </w:r>
      <w:proofErr w:type="spellEnd"/>
      <w:r w:rsidR="0000061F">
        <w:rPr>
          <w:lang w:val="en-US"/>
        </w:rPr>
        <w:t xml:space="preserve"> </w:t>
      </w:r>
      <w:proofErr w:type="spellStart"/>
      <w:r w:rsidR="0000061F">
        <w:rPr>
          <w:lang w:val="en-US"/>
        </w:rPr>
        <w:t>generasi</w:t>
      </w:r>
      <w:proofErr w:type="spellEnd"/>
      <w:r w:rsidR="0000061F">
        <w:rPr>
          <w:lang w:val="en-US"/>
        </w:rPr>
        <w:t xml:space="preserve"> </w:t>
      </w:r>
      <w:proofErr w:type="spellStart"/>
      <w:r w:rsidR="0000061F">
        <w:rPr>
          <w:lang w:val="en-US"/>
        </w:rPr>
        <w:t>ketiga</w:t>
      </w:r>
      <w:proofErr w:type="spellEnd"/>
      <w:r w:rsidR="0000061F">
        <w:rPr>
          <w:lang w:val="en-US"/>
        </w:rPr>
        <w:t xml:space="preserve"> yang </w:t>
      </w:r>
      <w:proofErr w:type="spellStart"/>
      <w:r w:rsidR="0000061F">
        <w:rPr>
          <w:lang w:val="en-US"/>
        </w:rPr>
        <w:t>memiliki</w:t>
      </w:r>
      <w:proofErr w:type="spellEnd"/>
      <w:r w:rsidR="0000061F">
        <w:rPr>
          <w:lang w:val="en-US"/>
        </w:rPr>
        <w:t xml:space="preserve"> </w:t>
      </w:r>
      <w:proofErr w:type="spellStart"/>
      <w:r w:rsidR="0000061F">
        <w:rPr>
          <w:lang w:val="en-US"/>
        </w:rPr>
        <w:t>aktivitas</w:t>
      </w:r>
      <w:proofErr w:type="spellEnd"/>
      <w:r w:rsidR="0000061F">
        <w:rPr>
          <w:lang w:val="en-US"/>
        </w:rPr>
        <w:t xml:space="preserve"> </w:t>
      </w:r>
      <w:proofErr w:type="spellStart"/>
      <w:r w:rsidR="0000061F">
        <w:rPr>
          <w:lang w:val="en-US"/>
        </w:rPr>
        <w:t>spektrum</w:t>
      </w:r>
      <w:proofErr w:type="spellEnd"/>
      <w:r w:rsidR="0000061F">
        <w:rPr>
          <w:lang w:val="en-US"/>
        </w:rPr>
        <w:t xml:space="preserve"> </w:t>
      </w:r>
      <w:proofErr w:type="spellStart"/>
      <w:r w:rsidR="0000061F">
        <w:rPr>
          <w:lang w:val="en-US"/>
        </w:rPr>
        <w:t>luas</w:t>
      </w:r>
      <w:proofErr w:type="spellEnd"/>
      <w:r w:rsidR="0000061F">
        <w:rPr>
          <w:lang w:val="en-US"/>
        </w:rPr>
        <w:t xml:space="preserve">, </w:t>
      </w:r>
      <w:proofErr w:type="spellStart"/>
      <w:r w:rsidR="0000061F">
        <w:rPr>
          <w:lang w:val="en-US"/>
        </w:rPr>
        <w:t>bekerja</w:t>
      </w:r>
      <w:proofErr w:type="spellEnd"/>
      <w:r w:rsidR="0000061F">
        <w:rPr>
          <w:lang w:val="en-US"/>
        </w:rPr>
        <w:t xml:space="preserve"> </w:t>
      </w:r>
      <w:proofErr w:type="spellStart"/>
      <w:r w:rsidR="0000061F">
        <w:rPr>
          <w:lang w:val="en-US"/>
        </w:rPr>
        <w:t>dengan</w:t>
      </w:r>
      <w:proofErr w:type="spellEnd"/>
      <w:r w:rsidR="0000061F">
        <w:rPr>
          <w:lang w:val="en-US"/>
        </w:rPr>
        <w:t xml:space="preserve"> </w:t>
      </w:r>
      <w:proofErr w:type="spellStart"/>
      <w:r w:rsidR="0000061F">
        <w:rPr>
          <w:lang w:val="en-US"/>
        </w:rPr>
        <w:t>cara</w:t>
      </w:r>
      <w:proofErr w:type="spellEnd"/>
      <w:r w:rsidR="0000061F">
        <w:rPr>
          <w:lang w:val="en-US"/>
        </w:rPr>
        <w:t xml:space="preserve"> </w:t>
      </w:r>
      <w:proofErr w:type="spellStart"/>
      <w:r w:rsidR="0000061F">
        <w:rPr>
          <w:lang w:val="en-US"/>
        </w:rPr>
        <w:t>menahan</w:t>
      </w:r>
      <w:proofErr w:type="spellEnd"/>
      <w:r w:rsidR="0000061F">
        <w:rPr>
          <w:lang w:val="en-US"/>
        </w:rPr>
        <w:t xml:space="preserve"> </w:t>
      </w:r>
      <w:proofErr w:type="spellStart"/>
      <w:r w:rsidR="0000061F">
        <w:rPr>
          <w:lang w:val="en-US"/>
        </w:rPr>
        <w:t>aktivitas</w:t>
      </w:r>
      <w:proofErr w:type="spellEnd"/>
      <w:r w:rsidR="0000061F">
        <w:rPr>
          <w:lang w:val="en-US"/>
        </w:rPr>
        <w:t xml:space="preserve"> </w:t>
      </w:r>
      <w:proofErr w:type="spellStart"/>
      <w:r w:rsidR="0000061F">
        <w:rPr>
          <w:lang w:val="en-US"/>
        </w:rPr>
        <w:t>enzim</w:t>
      </w:r>
      <w:proofErr w:type="spellEnd"/>
      <w:r w:rsidR="0000061F">
        <w:rPr>
          <w:lang w:val="en-US"/>
        </w:rPr>
        <w:t xml:space="preserve"> </w:t>
      </w:r>
      <w:proofErr w:type="spellStart"/>
      <w:r w:rsidR="0000061F">
        <w:rPr>
          <w:lang w:val="en-US"/>
        </w:rPr>
        <w:t>betalaktamase</w:t>
      </w:r>
      <w:proofErr w:type="spellEnd"/>
      <w:r w:rsidR="0000061F">
        <w:rPr>
          <w:lang w:val="en-US"/>
        </w:rPr>
        <w:t xml:space="preserve">, </w:t>
      </w:r>
      <w:r w:rsidR="0000061F" w:rsidRPr="00E73F7D">
        <w:t>memiliki spektrum antibakteri yang mirip dengan sefotaksim</w:t>
      </w:r>
      <w:r w:rsidR="0000061F">
        <w:rPr>
          <w:lang w:val="en-US"/>
        </w:rPr>
        <w:t xml:space="preserve"> </w:t>
      </w:r>
      <w:proofErr w:type="spellStart"/>
      <w:r w:rsidR="0000061F">
        <w:rPr>
          <w:lang w:val="en-US"/>
        </w:rPr>
        <w:t>dan</w:t>
      </w:r>
      <w:proofErr w:type="spellEnd"/>
      <w:r w:rsidR="0000061F">
        <w:rPr>
          <w:lang w:val="en-US"/>
        </w:rPr>
        <w:t xml:space="preserve"> </w:t>
      </w:r>
      <w:proofErr w:type="spellStart"/>
      <w:r w:rsidR="0000061F">
        <w:rPr>
          <w:lang w:val="en-US"/>
        </w:rPr>
        <w:t>dapat</w:t>
      </w:r>
      <w:proofErr w:type="spellEnd"/>
      <w:r w:rsidR="0000061F">
        <w:rPr>
          <w:lang w:val="en-US"/>
        </w:rPr>
        <w:t xml:space="preserve"> </w:t>
      </w:r>
      <w:proofErr w:type="spellStart"/>
      <w:r w:rsidR="0000061F">
        <w:rPr>
          <w:lang w:val="en-US"/>
        </w:rPr>
        <w:t>dikonsumsi</w:t>
      </w:r>
      <w:proofErr w:type="spellEnd"/>
      <w:r w:rsidR="0000061F">
        <w:rPr>
          <w:lang w:val="en-US"/>
        </w:rPr>
        <w:t xml:space="preserve"> </w:t>
      </w:r>
      <w:proofErr w:type="spellStart"/>
      <w:r w:rsidR="0000061F">
        <w:rPr>
          <w:lang w:val="en-US"/>
        </w:rPr>
        <w:t>secara</w:t>
      </w:r>
      <w:proofErr w:type="spellEnd"/>
      <w:r w:rsidR="0000061F">
        <w:rPr>
          <w:lang w:val="en-US"/>
        </w:rPr>
        <w:t xml:space="preserve"> oral </w:t>
      </w:r>
      <w:proofErr w:type="spellStart"/>
      <w:r w:rsidR="0000061F">
        <w:rPr>
          <w:lang w:val="en-US"/>
        </w:rPr>
        <w:t>sehingga</w:t>
      </w:r>
      <w:proofErr w:type="spellEnd"/>
      <w:r w:rsidR="0000061F">
        <w:rPr>
          <w:lang w:val="en-US"/>
        </w:rPr>
        <w:t xml:space="preserve"> </w:t>
      </w:r>
      <w:proofErr w:type="spellStart"/>
      <w:r w:rsidR="0000061F">
        <w:rPr>
          <w:lang w:val="en-US"/>
        </w:rPr>
        <w:t>lebih</w:t>
      </w:r>
      <w:proofErr w:type="spellEnd"/>
      <w:r w:rsidR="0000061F">
        <w:rPr>
          <w:lang w:val="en-US"/>
        </w:rPr>
        <w:t xml:space="preserve"> </w:t>
      </w:r>
      <w:proofErr w:type="spellStart"/>
      <w:r w:rsidR="0000061F">
        <w:rPr>
          <w:lang w:val="en-US"/>
        </w:rPr>
        <w:t>mudah</w:t>
      </w:r>
      <w:proofErr w:type="spellEnd"/>
      <w:r w:rsidR="0000061F">
        <w:rPr>
          <w:lang w:val="en-US"/>
        </w:rPr>
        <w:t xml:space="preserve"> </w:t>
      </w:r>
      <w:proofErr w:type="spellStart"/>
      <w:r w:rsidR="0000061F">
        <w:rPr>
          <w:lang w:val="en-US"/>
        </w:rPr>
        <w:t>diberikan</w:t>
      </w:r>
      <w:proofErr w:type="spellEnd"/>
      <w:r w:rsidR="0000061F">
        <w:rPr>
          <w:lang w:val="en-US"/>
        </w:rPr>
        <w:t xml:space="preserve"> </w:t>
      </w:r>
      <w:proofErr w:type="spellStart"/>
      <w:r w:rsidR="0000061F">
        <w:rPr>
          <w:lang w:val="en-US"/>
        </w:rPr>
        <w:t>kepada</w:t>
      </w:r>
      <w:proofErr w:type="spellEnd"/>
      <w:r w:rsidR="0000061F">
        <w:rPr>
          <w:lang w:val="en-US"/>
        </w:rPr>
        <w:t xml:space="preserve"> </w:t>
      </w:r>
      <w:proofErr w:type="spellStart"/>
      <w:r w:rsidR="0000061F">
        <w:rPr>
          <w:lang w:val="en-US"/>
        </w:rPr>
        <w:t>pasien</w:t>
      </w:r>
      <w:proofErr w:type="spellEnd"/>
      <w:r w:rsidR="0000061F">
        <w:rPr>
          <w:lang w:val="en-US"/>
        </w:rPr>
        <w:t xml:space="preserve"> </w:t>
      </w:r>
      <w:r w:rsidR="0000061F">
        <w:rPr>
          <w:i/>
          <w:lang w:val="en-US"/>
        </w:rPr>
        <w:fldChar w:fldCharType="begin" w:fldLock="1"/>
      </w:r>
      <w:r w:rsidR="0000061F">
        <w:rPr>
          <w:i/>
          <w:lang w:val="en-US"/>
        </w:rPr>
        <w:instrText>ADDIN CSL_CITATION {"citationItems":[{"id":"ITEM-1","itemData":{"DOI":"10.26510/2394-0859.pbe.2017.36","abstract":"Cephalosporins are the most important antibiotics having β-lactam ring and are obtained from a fungus Acremonium, also known as cephalosporium. The wide use of cephalosporins against bacteria in various severe infections such as respiratory tract infection (RTI), skin infection and urinary tract infection (UTI) has led the scientist dive into the detail of this antibacterial drug. The knowledge about structural activity relationship (SAR), spectrum of inhibition (SOI), chemical properties and pharmacology of cephalosporin has pivotal impact to device advanced therapeutic results. The treatment of a disease using cephalosporin has many pros and cons. If the pharmacology and chemical properties of this drug are known properly, many side effects can be diminished or minimized to a certain level. This article review some pharmacological and chemical properties of cephalosporins.","author":[{"dropping-particle":"","family":"Shahbaz","given":"Kiran","non-dropping-particle":"","parse-names":false,"suffix":""}],"container-title":"Pharmaceutical and Biological Evaluations","id":"ITEM-1","issue":"6","issued":{"date-parts":[["2017"]]},"page":"234","title":"Cephalosporins: pharmacology and chemistry","type":"article-journal","volume":"4"},"uris":["http://www.mendeley.com/documents/?uuid=1daed633-d943-479f-92b0-e26498457012"]}],"mendeley":{"formattedCitation":"(Shahbaz, 2017)","plainTextFormattedCitation":"(Shahbaz, 2017)","previouslyFormattedCitation":"(Shahbaz, 2017)"},"properties":{"noteIndex":0},"schema":"https://github.com/citation-style-language/schema/raw/master/csl-citation.json"}</w:instrText>
      </w:r>
      <w:r w:rsidR="0000061F">
        <w:rPr>
          <w:i/>
          <w:lang w:val="en-US"/>
        </w:rPr>
        <w:fldChar w:fldCharType="separate"/>
      </w:r>
      <w:r w:rsidR="0000061F" w:rsidRPr="000240F3">
        <w:rPr>
          <w:noProof/>
          <w:lang w:val="en-US"/>
        </w:rPr>
        <w:t>(Shahbaz, 2017)</w:t>
      </w:r>
      <w:r w:rsidR="0000061F">
        <w:rPr>
          <w:i/>
          <w:lang w:val="en-US"/>
        </w:rPr>
        <w:fldChar w:fldCharType="end"/>
      </w:r>
    </w:p>
    <w:p w:rsidR="0000061F" w:rsidRDefault="0000061F" w:rsidP="0000061F">
      <w:pPr>
        <w:pStyle w:val="ListParagraph"/>
        <w:numPr>
          <w:ilvl w:val="0"/>
          <w:numId w:val="2"/>
        </w:numPr>
        <w:spacing w:before="6" w:after="0" w:line="360" w:lineRule="auto"/>
        <w:ind w:right="4"/>
        <w:rPr>
          <w:lang w:val="en-US"/>
        </w:rPr>
      </w:pPr>
      <w:proofErr w:type="spellStart"/>
      <w:r>
        <w:rPr>
          <w:lang w:val="en-US"/>
        </w:rPr>
        <w:t>Evaluasi</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Antibiotik</w:t>
      </w:r>
      <w:proofErr w:type="spellEnd"/>
    </w:p>
    <w:p w:rsidR="0000061F" w:rsidRDefault="0000061F" w:rsidP="0000061F">
      <w:pPr>
        <w:pStyle w:val="ListParagraph"/>
        <w:spacing w:before="6" w:after="0" w:line="360" w:lineRule="auto"/>
        <w:ind w:left="1086" w:right="4" w:hanging="660"/>
        <w:rPr>
          <w:lang w:val="en-US"/>
        </w:rPr>
      </w:pPr>
      <w:proofErr w:type="spellStart"/>
      <w:r>
        <w:rPr>
          <w:lang w:val="en-US"/>
        </w:rPr>
        <w:t>Tepat</w:t>
      </w:r>
      <w:proofErr w:type="spellEnd"/>
      <w:r>
        <w:rPr>
          <w:lang w:val="en-US"/>
        </w:rPr>
        <w:t xml:space="preserve"> </w:t>
      </w:r>
      <w:proofErr w:type="spellStart"/>
      <w:r>
        <w:rPr>
          <w:lang w:val="en-US"/>
        </w:rPr>
        <w:t>Indikasi</w:t>
      </w:r>
      <w:proofErr w:type="spellEnd"/>
    </w:p>
    <w:p w:rsidR="00A66D72" w:rsidRDefault="00A66D72" w:rsidP="00A66D72">
      <w:pPr>
        <w:pStyle w:val="ListParagraph"/>
        <w:spacing w:before="6" w:after="0" w:line="360" w:lineRule="auto"/>
        <w:ind w:left="1086" w:right="4" w:hanging="660"/>
        <w:jc w:val="center"/>
        <w:rPr>
          <w:lang w:val="en-US"/>
        </w:rPr>
      </w:pPr>
      <w:proofErr w:type="spellStart"/>
      <w:proofErr w:type="gramStart"/>
      <w:r>
        <w:rPr>
          <w:lang w:val="en-US"/>
        </w:rPr>
        <w:t>Tabel</w:t>
      </w:r>
      <w:proofErr w:type="spellEnd"/>
      <w:r>
        <w:rPr>
          <w:lang w:val="en-US"/>
        </w:rPr>
        <w:t xml:space="preserve"> 5.</w:t>
      </w:r>
      <w:proofErr w:type="gramEnd"/>
      <w:r>
        <w:rPr>
          <w:lang w:val="en-US"/>
        </w:rPr>
        <w:t xml:space="preserve"> </w:t>
      </w:r>
      <w:proofErr w:type="spellStart"/>
      <w:r w:rsidRPr="008C7ECD">
        <w:rPr>
          <w:szCs w:val="24"/>
          <w:lang w:val="en-US"/>
        </w:rPr>
        <w:t>Ketepatan</w:t>
      </w:r>
      <w:proofErr w:type="spellEnd"/>
      <w:r w:rsidRPr="008C7ECD">
        <w:rPr>
          <w:szCs w:val="24"/>
          <w:lang w:val="en-US"/>
        </w:rPr>
        <w:t xml:space="preserve"> </w:t>
      </w:r>
      <w:proofErr w:type="spellStart"/>
      <w:r w:rsidRPr="008C7ECD">
        <w:rPr>
          <w:szCs w:val="24"/>
          <w:lang w:val="en-US"/>
        </w:rPr>
        <w:t>Indikasi</w:t>
      </w:r>
      <w:proofErr w:type="spellEnd"/>
    </w:p>
    <w:tbl>
      <w:tblPr>
        <w:tblW w:w="7229" w:type="dxa"/>
        <w:jc w:val="center"/>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68"/>
        <w:gridCol w:w="1493"/>
        <w:gridCol w:w="2268"/>
      </w:tblGrid>
      <w:tr w:rsidR="0000061F" w:rsidRPr="006A6945" w:rsidTr="0000061F">
        <w:trPr>
          <w:trHeight w:val="315"/>
          <w:jc w:val="center"/>
        </w:trPr>
        <w:tc>
          <w:tcPr>
            <w:tcW w:w="34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b/>
                <w:color w:val="000000"/>
                <w:sz w:val="22"/>
                <w:lang w:val="en-US"/>
              </w:rPr>
            </w:pPr>
            <w:proofErr w:type="spellStart"/>
            <w:r w:rsidRPr="006A6945">
              <w:rPr>
                <w:rFonts w:eastAsia="Times New Roman" w:cs="Times New Roman"/>
                <w:b/>
                <w:color w:val="000000"/>
                <w:sz w:val="22"/>
                <w:lang w:val="en-US"/>
              </w:rPr>
              <w:t>Keterangan</w:t>
            </w:r>
            <w:proofErr w:type="spellEnd"/>
          </w:p>
        </w:tc>
        <w:tc>
          <w:tcPr>
            <w:tcW w:w="1493" w:type="dxa"/>
            <w:shd w:val="clear" w:color="auto" w:fill="auto"/>
            <w:noWrap/>
            <w:vAlign w:val="bottom"/>
            <w:hideMark/>
          </w:tcPr>
          <w:p w:rsidR="0000061F" w:rsidRPr="006A6945" w:rsidRDefault="0000061F" w:rsidP="00720797">
            <w:pPr>
              <w:spacing w:after="0" w:line="240" w:lineRule="auto"/>
              <w:jc w:val="center"/>
              <w:rPr>
                <w:rFonts w:eastAsia="Times New Roman" w:cs="Times New Roman"/>
                <w:b/>
                <w:color w:val="000000"/>
                <w:sz w:val="22"/>
                <w:lang w:val="en-US"/>
              </w:rPr>
            </w:pPr>
            <w:proofErr w:type="spellStart"/>
            <w:r w:rsidRPr="006A6945">
              <w:rPr>
                <w:rFonts w:eastAsia="Times New Roman" w:cs="Times New Roman"/>
                <w:b/>
                <w:color w:val="000000"/>
                <w:sz w:val="22"/>
                <w:lang w:val="en-US"/>
              </w:rPr>
              <w:t>Jumlah</w:t>
            </w:r>
            <w:proofErr w:type="spellEnd"/>
          </w:p>
        </w:tc>
        <w:tc>
          <w:tcPr>
            <w:tcW w:w="22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b/>
                <w:color w:val="000000"/>
                <w:sz w:val="22"/>
                <w:lang w:val="en-US"/>
              </w:rPr>
            </w:pPr>
            <w:proofErr w:type="spellStart"/>
            <w:r w:rsidRPr="006A6945">
              <w:rPr>
                <w:rFonts w:eastAsia="Times New Roman" w:cs="Times New Roman"/>
                <w:b/>
                <w:color w:val="000000"/>
                <w:sz w:val="22"/>
                <w:lang w:val="en-US"/>
              </w:rPr>
              <w:t>Persentase</w:t>
            </w:r>
            <w:proofErr w:type="spellEnd"/>
            <w:r>
              <w:rPr>
                <w:rFonts w:eastAsia="Times New Roman" w:cs="Times New Roman"/>
                <w:b/>
                <w:color w:val="000000"/>
                <w:sz w:val="22"/>
                <w:lang w:val="en-US"/>
              </w:rPr>
              <w:t xml:space="preserve"> (%)</w:t>
            </w:r>
          </w:p>
        </w:tc>
      </w:tr>
      <w:tr w:rsidR="0000061F" w:rsidRPr="006A6945" w:rsidTr="0000061F">
        <w:trPr>
          <w:trHeight w:val="315"/>
          <w:jc w:val="center"/>
        </w:trPr>
        <w:tc>
          <w:tcPr>
            <w:tcW w:w="34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color w:val="000000"/>
                <w:sz w:val="22"/>
                <w:lang w:val="en-US"/>
              </w:rPr>
            </w:pPr>
            <w:proofErr w:type="spellStart"/>
            <w:r w:rsidRPr="006A6945">
              <w:rPr>
                <w:rFonts w:eastAsia="Times New Roman" w:cs="Times New Roman"/>
                <w:color w:val="000000"/>
                <w:sz w:val="22"/>
                <w:lang w:val="en-US"/>
              </w:rPr>
              <w:t>Sesuai</w:t>
            </w:r>
            <w:proofErr w:type="spellEnd"/>
          </w:p>
        </w:tc>
        <w:tc>
          <w:tcPr>
            <w:tcW w:w="1493" w:type="dxa"/>
            <w:shd w:val="clear" w:color="auto" w:fill="auto"/>
            <w:noWrap/>
            <w:vAlign w:val="bottom"/>
            <w:hideMark/>
          </w:tcPr>
          <w:p w:rsidR="0000061F" w:rsidRPr="006A6945"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46</w:t>
            </w:r>
          </w:p>
        </w:tc>
        <w:tc>
          <w:tcPr>
            <w:tcW w:w="22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76,67</w:t>
            </w:r>
          </w:p>
        </w:tc>
      </w:tr>
      <w:tr w:rsidR="0000061F" w:rsidRPr="006A6945" w:rsidTr="0000061F">
        <w:trPr>
          <w:trHeight w:val="315"/>
          <w:jc w:val="center"/>
        </w:trPr>
        <w:tc>
          <w:tcPr>
            <w:tcW w:w="34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color w:val="000000"/>
                <w:sz w:val="22"/>
                <w:lang w:val="en-US"/>
              </w:rPr>
            </w:pPr>
            <w:proofErr w:type="spellStart"/>
            <w:r w:rsidRPr="006A6945">
              <w:rPr>
                <w:rFonts w:eastAsia="Times New Roman" w:cs="Times New Roman"/>
                <w:color w:val="000000"/>
                <w:sz w:val="22"/>
                <w:lang w:val="en-US"/>
              </w:rPr>
              <w:t>Tidak</w:t>
            </w:r>
            <w:proofErr w:type="spellEnd"/>
            <w:r w:rsidRPr="006A6945">
              <w:rPr>
                <w:rFonts w:eastAsia="Times New Roman" w:cs="Times New Roman"/>
                <w:color w:val="000000"/>
                <w:sz w:val="22"/>
                <w:lang w:val="en-US"/>
              </w:rPr>
              <w:t xml:space="preserve"> </w:t>
            </w:r>
            <w:proofErr w:type="spellStart"/>
            <w:r w:rsidRPr="006A6945">
              <w:rPr>
                <w:rFonts w:eastAsia="Times New Roman" w:cs="Times New Roman"/>
                <w:color w:val="000000"/>
                <w:sz w:val="22"/>
                <w:lang w:val="en-US"/>
              </w:rPr>
              <w:t>Sesuai</w:t>
            </w:r>
            <w:proofErr w:type="spellEnd"/>
          </w:p>
        </w:tc>
        <w:tc>
          <w:tcPr>
            <w:tcW w:w="1493" w:type="dxa"/>
            <w:shd w:val="clear" w:color="auto" w:fill="auto"/>
            <w:noWrap/>
            <w:vAlign w:val="bottom"/>
            <w:hideMark/>
          </w:tcPr>
          <w:p w:rsidR="0000061F" w:rsidRPr="006A6945"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14</w:t>
            </w:r>
          </w:p>
        </w:tc>
        <w:tc>
          <w:tcPr>
            <w:tcW w:w="2268" w:type="dxa"/>
            <w:shd w:val="clear" w:color="auto" w:fill="auto"/>
            <w:noWrap/>
            <w:vAlign w:val="bottom"/>
            <w:hideMark/>
          </w:tcPr>
          <w:p w:rsidR="0000061F" w:rsidRPr="006A6945"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23,33</w:t>
            </w:r>
          </w:p>
        </w:tc>
      </w:tr>
      <w:tr w:rsidR="0000061F" w:rsidRPr="006A6945" w:rsidTr="0000061F">
        <w:trPr>
          <w:trHeight w:val="315"/>
          <w:jc w:val="center"/>
        </w:trPr>
        <w:tc>
          <w:tcPr>
            <w:tcW w:w="3468" w:type="dxa"/>
            <w:shd w:val="clear" w:color="auto" w:fill="auto"/>
            <w:noWrap/>
            <w:vAlign w:val="bottom"/>
          </w:tcPr>
          <w:p w:rsidR="0000061F" w:rsidRPr="006A6945"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1493" w:type="dxa"/>
            <w:shd w:val="clear" w:color="auto" w:fill="auto"/>
            <w:noWrap/>
            <w:vAlign w:val="bottom"/>
          </w:tcPr>
          <w:p w:rsidR="0000061F"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268" w:type="dxa"/>
            <w:shd w:val="clear" w:color="auto" w:fill="auto"/>
            <w:noWrap/>
            <w:vAlign w:val="bottom"/>
          </w:tcPr>
          <w:p w:rsidR="0000061F"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00061F" w:rsidRDefault="0000061F" w:rsidP="0000061F">
      <w:pPr>
        <w:pStyle w:val="ListParagraph"/>
        <w:spacing w:before="6" w:after="0" w:line="360" w:lineRule="auto"/>
        <w:ind w:left="1086" w:right="4"/>
        <w:rPr>
          <w:lang w:val="en-US"/>
        </w:rPr>
      </w:pPr>
    </w:p>
    <w:p w:rsidR="0000061F" w:rsidRDefault="00A66D72" w:rsidP="0000061F">
      <w:pPr>
        <w:pStyle w:val="ListParagraph"/>
        <w:spacing w:before="6" w:after="0" w:line="360" w:lineRule="auto"/>
        <w:ind w:left="426" w:right="4" w:firstLine="425"/>
        <w:rPr>
          <w:lang w:val="en-US"/>
        </w:rPr>
      </w:pPr>
      <w:r>
        <w:rPr>
          <w:lang w:val="en-US"/>
        </w:rPr>
        <w:t xml:space="preserve">Dari </w:t>
      </w:r>
      <w:proofErr w:type="spellStart"/>
      <w:r>
        <w:rPr>
          <w:lang w:val="en-US"/>
        </w:rPr>
        <w:t>tabel</w:t>
      </w:r>
      <w:proofErr w:type="spellEnd"/>
      <w:r>
        <w:rPr>
          <w:lang w:val="en-US"/>
        </w:rPr>
        <w:t xml:space="preserve"> 6, </w:t>
      </w:r>
      <w:r w:rsidR="0000061F">
        <w:t xml:space="preserve">menunjukan bahwa dari </w:t>
      </w:r>
      <w:r w:rsidR="0000061F">
        <w:rPr>
          <w:lang w:val="en-US"/>
        </w:rPr>
        <w:t>60</w:t>
      </w:r>
      <w:r w:rsidR="0000061F">
        <w:t xml:space="preserve"> rekam medi</w:t>
      </w:r>
      <w:r w:rsidR="0000061F">
        <w:rPr>
          <w:lang w:val="en-US"/>
        </w:rPr>
        <w:t>k</w:t>
      </w:r>
      <w:r w:rsidR="0000061F">
        <w:t xml:space="preserve"> yang diperiksa, </w:t>
      </w:r>
      <w:proofErr w:type="gramStart"/>
      <w:r w:rsidR="0000061F">
        <w:rPr>
          <w:lang w:val="en-US"/>
        </w:rPr>
        <w:t xml:space="preserve">46 </w:t>
      </w:r>
      <w:r w:rsidR="0000061F">
        <w:t xml:space="preserve"> (</w:t>
      </w:r>
      <w:proofErr w:type="gramEnd"/>
      <w:r w:rsidR="0000061F">
        <w:rPr>
          <w:lang w:val="en-US"/>
        </w:rPr>
        <w:t>76,67</w:t>
      </w:r>
      <w:r w:rsidR="0000061F" w:rsidRPr="006A6945">
        <w:t>%) resep merupakan tepat indikasi sedangkan resep t</w:t>
      </w:r>
      <w:r w:rsidR="0000061F">
        <w:t xml:space="preserve">idak tepat indikasi berjumlah </w:t>
      </w:r>
      <w:r w:rsidR="0000061F">
        <w:rPr>
          <w:lang w:val="en-US"/>
        </w:rPr>
        <w:t>16</w:t>
      </w:r>
      <w:r w:rsidR="0000061F">
        <w:t xml:space="preserve"> (</w:t>
      </w:r>
      <w:r w:rsidR="0000061F">
        <w:rPr>
          <w:lang w:val="en-US"/>
        </w:rPr>
        <w:t>23,33</w:t>
      </w:r>
      <w:r w:rsidR="0000061F" w:rsidRPr="006A6945">
        <w:t>%) resep. Penyebab terjadinya ti</w:t>
      </w:r>
      <w:r w:rsidR="0000061F">
        <w:t xml:space="preserve">dak tepat indikasi ini </w:t>
      </w:r>
      <w:proofErr w:type="spellStart"/>
      <w:r w:rsidR="0000061F">
        <w:rPr>
          <w:lang w:val="en-US"/>
        </w:rPr>
        <w:t>adalah</w:t>
      </w:r>
      <w:proofErr w:type="spellEnd"/>
      <w:r w:rsidR="0000061F">
        <w:rPr>
          <w:lang w:val="en-US"/>
        </w:rPr>
        <w:t xml:space="preserve"> </w:t>
      </w:r>
      <w:r w:rsidR="0000061F">
        <w:t>penyak</w:t>
      </w:r>
      <w:r w:rsidR="0000061F">
        <w:rPr>
          <w:lang w:val="en-US"/>
        </w:rPr>
        <w:t xml:space="preserve">it </w:t>
      </w:r>
      <w:proofErr w:type="spellStart"/>
      <w:r w:rsidR="0000061F">
        <w:rPr>
          <w:lang w:val="en-US"/>
        </w:rPr>
        <w:t>pasien</w:t>
      </w:r>
      <w:proofErr w:type="spellEnd"/>
      <w:r w:rsidR="0000061F" w:rsidRPr="006A6945">
        <w:t xml:space="preserve"> tidak memiliki gejala terjadinya infeksi bakteri, pemilihan antibiotik yang tidak tepat, pengobatan yang sebena</w:t>
      </w:r>
      <w:r w:rsidR="0000061F">
        <w:t>rnya tidak memerlukan antibioti</w:t>
      </w:r>
      <w:r w:rsidR="0000061F">
        <w:rPr>
          <w:lang w:val="en-US"/>
        </w:rPr>
        <w:t>k</w:t>
      </w:r>
    </w:p>
    <w:p w:rsidR="0000061F" w:rsidRDefault="0000061F" w:rsidP="0000061F">
      <w:pPr>
        <w:pStyle w:val="ListParagraph"/>
        <w:spacing w:before="6" w:after="0" w:line="360" w:lineRule="auto"/>
        <w:ind w:left="1086" w:right="4" w:hanging="660"/>
        <w:rPr>
          <w:lang w:val="en-US"/>
        </w:rPr>
      </w:pPr>
      <w:proofErr w:type="spellStart"/>
      <w:r>
        <w:rPr>
          <w:lang w:val="en-US"/>
        </w:rPr>
        <w:t>Tepat</w:t>
      </w:r>
      <w:proofErr w:type="spellEnd"/>
      <w:r>
        <w:rPr>
          <w:lang w:val="en-US"/>
        </w:rPr>
        <w:t xml:space="preserve"> </w:t>
      </w:r>
      <w:proofErr w:type="spellStart"/>
      <w:r>
        <w:rPr>
          <w:lang w:val="en-US"/>
        </w:rPr>
        <w:t>Dosis</w:t>
      </w:r>
      <w:proofErr w:type="spellEnd"/>
    </w:p>
    <w:p w:rsidR="00A66D72" w:rsidRDefault="00A66D72" w:rsidP="00A66D72">
      <w:pPr>
        <w:pStyle w:val="ListParagraph"/>
        <w:spacing w:before="6" w:after="0" w:line="360" w:lineRule="auto"/>
        <w:ind w:left="1086" w:right="4" w:hanging="660"/>
        <w:jc w:val="center"/>
        <w:rPr>
          <w:lang w:val="en-US"/>
        </w:rPr>
      </w:pPr>
      <w:proofErr w:type="spellStart"/>
      <w:proofErr w:type="gramStart"/>
      <w:r>
        <w:rPr>
          <w:lang w:val="en-US"/>
        </w:rPr>
        <w:t>Tabel</w:t>
      </w:r>
      <w:proofErr w:type="spellEnd"/>
      <w:r>
        <w:rPr>
          <w:lang w:val="en-US"/>
        </w:rPr>
        <w:t xml:space="preserve"> 6.</w:t>
      </w:r>
      <w:proofErr w:type="gramEnd"/>
      <w:r>
        <w:rPr>
          <w:lang w:val="en-US"/>
        </w:rPr>
        <w:t xml:space="preserve"> </w:t>
      </w:r>
      <w:proofErr w:type="spellStart"/>
      <w:r w:rsidRPr="008C7ECD">
        <w:rPr>
          <w:szCs w:val="24"/>
          <w:lang w:val="en-US"/>
        </w:rPr>
        <w:t>Ketepatan</w:t>
      </w:r>
      <w:proofErr w:type="spellEnd"/>
      <w:r w:rsidRPr="008C7ECD">
        <w:rPr>
          <w:szCs w:val="24"/>
          <w:lang w:val="en-US"/>
        </w:rPr>
        <w:t xml:space="preserve"> </w:t>
      </w:r>
      <w:proofErr w:type="spellStart"/>
      <w:r w:rsidRPr="008C7ECD">
        <w:rPr>
          <w:szCs w:val="24"/>
          <w:lang w:val="en-US"/>
        </w:rPr>
        <w:t>Dosis</w:t>
      </w:r>
      <w:proofErr w:type="spellEnd"/>
    </w:p>
    <w:tbl>
      <w:tblPr>
        <w:tblW w:w="7229" w:type="dxa"/>
        <w:jc w:val="center"/>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67"/>
        <w:gridCol w:w="1736"/>
        <w:gridCol w:w="2126"/>
      </w:tblGrid>
      <w:tr w:rsidR="0000061F" w:rsidRPr="0019062D" w:rsidTr="0000061F">
        <w:trPr>
          <w:trHeight w:val="315"/>
          <w:jc w:val="center"/>
        </w:trPr>
        <w:tc>
          <w:tcPr>
            <w:tcW w:w="3367" w:type="dxa"/>
            <w:shd w:val="clear" w:color="auto" w:fill="auto"/>
            <w:noWrap/>
            <w:vAlign w:val="bottom"/>
            <w:hideMark/>
          </w:tcPr>
          <w:p w:rsidR="0000061F" w:rsidRPr="0019062D" w:rsidRDefault="0000061F" w:rsidP="00720797">
            <w:pPr>
              <w:spacing w:after="0" w:line="240" w:lineRule="auto"/>
              <w:jc w:val="center"/>
              <w:rPr>
                <w:rFonts w:eastAsia="Times New Roman" w:cs="Times New Roman"/>
                <w:b/>
                <w:color w:val="000000"/>
                <w:sz w:val="22"/>
                <w:lang w:val="en-US"/>
              </w:rPr>
            </w:pPr>
            <w:proofErr w:type="spellStart"/>
            <w:r w:rsidRPr="0019062D">
              <w:rPr>
                <w:rFonts w:eastAsia="Times New Roman" w:cs="Times New Roman"/>
                <w:b/>
                <w:color w:val="000000"/>
                <w:sz w:val="22"/>
                <w:lang w:val="en-US"/>
              </w:rPr>
              <w:t>Keterangan</w:t>
            </w:r>
            <w:proofErr w:type="spellEnd"/>
          </w:p>
        </w:tc>
        <w:tc>
          <w:tcPr>
            <w:tcW w:w="173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b/>
                <w:color w:val="000000"/>
                <w:sz w:val="22"/>
                <w:lang w:val="en-US"/>
              </w:rPr>
            </w:pPr>
            <w:proofErr w:type="spellStart"/>
            <w:r w:rsidRPr="0019062D">
              <w:rPr>
                <w:rFonts w:eastAsia="Times New Roman" w:cs="Times New Roman"/>
                <w:b/>
                <w:color w:val="000000"/>
                <w:sz w:val="22"/>
                <w:lang w:val="en-US"/>
              </w:rPr>
              <w:t>Jumlah</w:t>
            </w:r>
            <w:proofErr w:type="spellEnd"/>
          </w:p>
        </w:tc>
        <w:tc>
          <w:tcPr>
            <w:tcW w:w="212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b/>
                <w:color w:val="000000"/>
                <w:sz w:val="22"/>
                <w:lang w:val="en-US"/>
              </w:rPr>
            </w:pPr>
            <w:proofErr w:type="spellStart"/>
            <w:r w:rsidRPr="0019062D">
              <w:rPr>
                <w:rFonts w:eastAsia="Times New Roman" w:cs="Times New Roman"/>
                <w:b/>
                <w:color w:val="000000"/>
                <w:sz w:val="22"/>
                <w:lang w:val="en-US"/>
              </w:rPr>
              <w:t>Persentase</w:t>
            </w:r>
            <w:proofErr w:type="spellEnd"/>
            <w:r>
              <w:rPr>
                <w:rFonts w:eastAsia="Times New Roman" w:cs="Times New Roman"/>
                <w:b/>
                <w:color w:val="000000"/>
                <w:sz w:val="22"/>
                <w:lang w:val="en-US"/>
              </w:rPr>
              <w:t xml:space="preserve"> (%)</w:t>
            </w:r>
          </w:p>
        </w:tc>
      </w:tr>
      <w:tr w:rsidR="0000061F" w:rsidRPr="0019062D" w:rsidTr="0000061F">
        <w:trPr>
          <w:trHeight w:val="315"/>
          <w:jc w:val="center"/>
        </w:trPr>
        <w:tc>
          <w:tcPr>
            <w:tcW w:w="3367"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proofErr w:type="spellStart"/>
            <w:r w:rsidRPr="0019062D">
              <w:rPr>
                <w:rFonts w:eastAsia="Times New Roman" w:cs="Times New Roman"/>
                <w:color w:val="000000"/>
                <w:sz w:val="22"/>
                <w:lang w:val="en-US"/>
              </w:rPr>
              <w:t>Sesuai</w:t>
            </w:r>
            <w:proofErr w:type="spellEnd"/>
          </w:p>
        </w:tc>
        <w:tc>
          <w:tcPr>
            <w:tcW w:w="173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44</w:t>
            </w:r>
          </w:p>
        </w:tc>
        <w:tc>
          <w:tcPr>
            <w:tcW w:w="212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73,33</w:t>
            </w:r>
          </w:p>
        </w:tc>
      </w:tr>
      <w:tr w:rsidR="0000061F" w:rsidRPr="0019062D" w:rsidTr="0000061F">
        <w:trPr>
          <w:trHeight w:val="315"/>
          <w:jc w:val="center"/>
        </w:trPr>
        <w:tc>
          <w:tcPr>
            <w:tcW w:w="3367"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proofErr w:type="spellStart"/>
            <w:r w:rsidRPr="0019062D">
              <w:rPr>
                <w:rFonts w:eastAsia="Times New Roman" w:cs="Times New Roman"/>
                <w:color w:val="000000"/>
                <w:sz w:val="22"/>
                <w:lang w:val="en-US"/>
              </w:rPr>
              <w:t>Tidak</w:t>
            </w:r>
            <w:proofErr w:type="spellEnd"/>
            <w:r w:rsidRPr="0019062D">
              <w:rPr>
                <w:rFonts w:eastAsia="Times New Roman" w:cs="Times New Roman"/>
                <w:color w:val="000000"/>
                <w:sz w:val="22"/>
                <w:lang w:val="en-US"/>
              </w:rPr>
              <w:t xml:space="preserve"> </w:t>
            </w:r>
            <w:proofErr w:type="spellStart"/>
            <w:r w:rsidRPr="0019062D">
              <w:rPr>
                <w:rFonts w:eastAsia="Times New Roman" w:cs="Times New Roman"/>
                <w:color w:val="000000"/>
                <w:sz w:val="22"/>
                <w:lang w:val="en-US"/>
              </w:rPr>
              <w:t>Sesuai</w:t>
            </w:r>
            <w:proofErr w:type="spellEnd"/>
          </w:p>
        </w:tc>
        <w:tc>
          <w:tcPr>
            <w:tcW w:w="173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16</w:t>
            </w:r>
          </w:p>
        </w:tc>
        <w:tc>
          <w:tcPr>
            <w:tcW w:w="2126" w:type="dxa"/>
            <w:shd w:val="clear" w:color="auto" w:fill="auto"/>
            <w:noWrap/>
            <w:vAlign w:val="bottom"/>
            <w:hideMark/>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26,67</w:t>
            </w:r>
          </w:p>
        </w:tc>
      </w:tr>
      <w:tr w:rsidR="0000061F" w:rsidRPr="0019062D" w:rsidTr="0000061F">
        <w:trPr>
          <w:trHeight w:val="315"/>
          <w:jc w:val="center"/>
        </w:trPr>
        <w:tc>
          <w:tcPr>
            <w:tcW w:w="3367" w:type="dxa"/>
            <w:shd w:val="clear" w:color="auto" w:fill="auto"/>
            <w:noWrap/>
            <w:vAlign w:val="bottom"/>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1736" w:type="dxa"/>
            <w:shd w:val="clear" w:color="auto" w:fill="auto"/>
            <w:noWrap/>
            <w:vAlign w:val="bottom"/>
          </w:tcPr>
          <w:p w:rsidR="0000061F" w:rsidRPr="0019062D"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126" w:type="dxa"/>
            <w:shd w:val="clear" w:color="auto" w:fill="auto"/>
            <w:noWrap/>
            <w:vAlign w:val="bottom"/>
          </w:tcPr>
          <w:p w:rsidR="0000061F" w:rsidRPr="0019062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00061F" w:rsidRDefault="0000061F" w:rsidP="0000061F">
      <w:pPr>
        <w:pStyle w:val="ListParagraph"/>
        <w:spacing w:before="6" w:after="0" w:line="360" w:lineRule="auto"/>
        <w:ind w:left="1086" w:right="4" w:firstLine="48"/>
        <w:rPr>
          <w:lang w:val="en-US"/>
        </w:rPr>
      </w:pPr>
    </w:p>
    <w:p w:rsidR="0000061F" w:rsidRDefault="00A66D72" w:rsidP="00A66D72">
      <w:pPr>
        <w:spacing w:before="6" w:after="0" w:line="360" w:lineRule="auto"/>
        <w:ind w:left="426" w:right="4"/>
        <w:rPr>
          <w:lang w:val="en-US"/>
        </w:rPr>
      </w:pPr>
      <w:proofErr w:type="spellStart"/>
      <w:r>
        <w:rPr>
          <w:lang w:val="en-US"/>
        </w:rPr>
        <w:t>Berdasarkan</w:t>
      </w:r>
      <w:proofErr w:type="spellEnd"/>
      <w:r>
        <w:rPr>
          <w:lang w:val="en-US"/>
        </w:rPr>
        <w:t xml:space="preserve"> </w:t>
      </w:r>
      <w:proofErr w:type="spellStart"/>
      <w:r>
        <w:rPr>
          <w:lang w:val="en-US"/>
        </w:rPr>
        <w:t>tabel</w:t>
      </w:r>
      <w:proofErr w:type="spellEnd"/>
      <w:r>
        <w:rPr>
          <w:lang w:val="en-US"/>
        </w:rPr>
        <w:t xml:space="preserve"> 6</w:t>
      </w:r>
      <w:r w:rsidR="0000061F">
        <w:t xml:space="preserve">, ketepatan dosis mencapat </w:t>
      </w:r>
      <w:r w:rsidR="0000061F">
        <w:rPr>
          <w:lang w:val="en-US"/>
        </w:rPr>
        <w:t>44</w:t>
      </w:r>
      <w:r w:rsidR="0000061F">
        <w:t xml:space="preserve"> resep dengan persentase mencapai</w:t>
      </w:r>
      <w:r w:rsidR="0000061F">
        <w:rPr>
          <w:lang w:val="en-US"/>
        </w:rPr>
        <w:t xml:space="preserve"> </w:t>
      </w:r>
      <w:r w:rsidR="0000061F">
        <w:t xml:space="preserve"> </w:t>
      </w:r>
      <w:r w:rsidR="0000061F">
        <w:rPr>
          <w:lang w:val="en-US"/>
        </w:rPr>
        <w:t xml:space="preserve">73,33 </w:t>
      </w:r>
      <w:r w:rsidR="0000061F">
        <w:t xml:space="preserve">%, untuk tidak tepat dosis berjumlah </w:t>
      </w:r>
      <w:r w:rsidR="0000061F">
        <w:rPr>
          <w:lang w:val="en-US"/>
        </w:rPr>
        <w:t>16</w:t>
      </w:r>
      <w:r w:rsidR="0000061F">
        <w:t xml:space="preserve"> resrep dengan persentasi </w:t>
      </w:r>
      <w:r w:rsidR="0000061F">
        <w:rPr>
          <w:lang w:val="en-US"/>
        </w:rPr>
        <w:t xml:space="preserve">26,67 </w:t>
      </w:r>
      <w:r w:rsidR="0000061F">
        <w:t xml:space="preserve">%. Kesalahan dalam pemberian dosis disebabkan oleh tidak tepatnya aturan minum obat dan </w:t>
      </w:r>
      <w:proofErr w:type="spellStart"/>
      <w:r w:rsidR="0000061F">
        <w:rPr>
          <w:lang w:val="en-US"/>
        </w:rPr>
        <w:t>Dosis</w:t>
      </w:r>
      <w:proofErr w:type="spellEnd"/>
      <w:r w:rsidR="0000061F">
        <w:rPr>
          <w:lang w:val="en-US"/>
        </w:rPr>
        <w:t xml:space="preserve"> </w:t>
      </w:r>
      <w:r w:rsidR="0000061F">
        <w:t xml:space="preserve">obat yang </w:t>
      </w:r>
      <w:r w:rsidR="0000061F">
        <w:lastRenderedPageBreak/>
        <w:t>kurang</w:t>
      </w:r>
      <w:r w:rsidR="0000061F">
        <w:rPr>
          <w:lang w:val="en-US"/>
        </w:rPr>
        <w:t xml:space="preserve"> </w:t>
      </w:r>
      <w:proofErr w:type="spellStart"/>
      <w:r w:rsidR="0000061F">
        <w:rPr>
          <w:lang w:val="en-US"/>
        </w:rPr>
        <w:t>atau</w:t>
      </w:r>
      <w:proofErr w:type="spellEnd"/>
      <w:r w:rsidR="0000061F">
        <w:rPr>
          <w:lang w:val="en-US"/>
        </w:rPr>
        <w:t xml:space="preserve"> </w:t>
      </w:r>
      <w:proofErr w:type="spellStart"/>
      <w:r w:rsidR="0000061F">
        <w:rPr>
          <w:lang w:val="en-US"/>
        </w:rPr>
        <w:t>lebih</w:t>
      </w:r>
      <w:proofErr w:type="spellEnd"/>
      <w:r w:rsidR="0000061F">
        <w:t xml:space="preserve">. </w:t>
      </w:r>
      <w:proofErr w:type="spellStart"/>
      <w:r w:rsidR="0000061F">
        <w:rPr>
          <w:lang w:val="en-US"/>
        </w:rPr>
        <w:t>Dampak</w:t>
      </w:r>
      <w:proofErr w:type="spellEnd"/>
      <w:r w:rsidR="0000061F">
        <w:rPr>
          <w:lang w:val="en-US"/>
        </w:rPr>
        <w:t xml:space="preserve"> </w:t>
      </w:r>
      <w:proofErr w:type="spellStart"/>
      <w:r w:rsidR="0000061F">
        <w:rPr>
          <w:lang w:val="en-US"/>
        </w:rPr>
        <w:t>dari</w:t>
      </w:r>
      <w:proofErr w:type="spellEnd"/>
      <w:r w:rsidR="0000061F">
        <w:rPr>
          <w:lang w:val="en-US"/>
        </w:rPr>
        <w:t xml:space="preserve"> </w:t>
      </w:r>
      <w:proofErr w:type="spellStart"/>
      <w:r w:rsidR="0000061F">
        <w:rPr>
          <w:lang w:val="en-US"/>
        </w:rPr>
        <w:t>ketidak</w:t>
      </w:r>
      <w:proofErr w:type="spellEnd"/>
      <w:r w:rsidR="0000061F">
        <w:rPr>
          <w:lang w:val="en-US"/>
        </w:rPr>
        <w:t xml:space="preserve"> </w:t>
      </w:r>
      <w:proofErr w:type="spellStart"/>
      <w:r w:rsidR="0000061F">
        <w:rPr>
          <w:lang w:val="en-US"/>
        </w:rPr>
        <w:t>sesuaian</w:t>
      </w:r>
      <w:proofErr w:type="spellEnd"/>
      <w:r w:rsidR="0000061F">
        <w:rPr>
          <w:lang w:val="en-US"/>
        </w:rPr>
        <w:t xml:space="preserve"> </w:t>
      </w:r>
      <w:proofErr w:type="spellStart"/>
      <w:r w:rsidR="0000061F">
        <w:rPr>
          <w:lang w:val="en-US"/>
        </w:rPr>
        <w:t>dosis</w:t>
      </w:r>
      <w:proofErr w:type="spellEnd"/>
      <w:r w:rsidR="0000061F">
        <w:rPr>
          <w:lang w:val="en-US"/>
        </w:rPr>
        <w:t xml:space="preserve"> </w:t>
      </w:r>
      <w:proofErr w:type="spellStart"/>
      <w:r w:rsidR="0000061F">
        <w:rPr>
          <w:lang w:val="en-US"/>
        </w:rPr>
        <w:t>ini</w:t>
      </w:r>
      <w:proofErr w:type="spellEnd"/>
      <w:r w:rsidR="0000061F">
        <w:rPr>
          <w:lang w:val="en-US"/>
        </w:rPr>
        <w:t xml:space="preserve"> </w:t>
      </w:r>
      <w:proofErr w:type="spellStart"/>
      <w:r w:rsidR="0000061F">
        <w:rPr>
          <w:lang w:val="en-US"/>
        </w:rPr>
        <w:t>ialah</w:t>
      </w:r>
      <w:proofErr w:type="spellEnd"/>
      <w:r w:rsidR="0000061F">
        <w:rPr>
          <w:lang w:val="en-US"/>
        </w:rPr>
        <w:t xml:space="preserve"> </w:t>
      </w:r>
      <w:proofErr w:type="spellStart"/>
      <w:r w:rsidR="0000061F">
        <w:rPr>
          <w:lang w:val="en-US"/>
        </w:rPr>
        <w:t>lamanya</w:t>
      </w:r>
      <w:proofErr w:type="spellEnd"/>
      <w:r w:rsidR="0000061F">
        <w:rPr>
          <w:lang w:val="en-US"/>
        </w:rPr>
        <w:t xml:space="preserve"> </w:t>
      </w:r>
      <w:proofErr w:type="spellStart"/>
      <w:r w:rsidR="0000061F">
        <w:rPr>
          <w:lang w:val="en-US"/>
        </w:rPr>
        <w:t>perawatan</w:t>
      </w:r>
      <w:proofErr w:type="spellEnd"/>
      <w:r w:rsidR="0000061F">
        <w:rPr>
          <w:lang w:val="en-US"/>
        </w:rPr>
        <w:t xml:space="preserve"> </w:t>
      </w:r>
      <w:proofErr w:type="spellStart"/>
      <w:r w:rsidR="0000061F">
        <w:rPr>
          <w:lang w:val="en-US"/>
        </w:rPr>
        <w:t>suatu</w:t>
      </w:r>
      <w:proofErr w:type="spellEnd"/>
      <w:r w:rsidR="0000061F">
        <w:rPr>
          <w:lang w:val="en-US"/>
        </w:rPr>
        <w:t xml:space="preserve"> </w:t>
      </w:r>
      <w:proofErr w:type="spellStart"/>
      <w:r w:rsidR="0000061F">
        <w:rPr>
          <w:lang w:val="en-US"/>
        </w:rPr>
        <w:t>penyakit</w:t>
      </w:r>
      <w:proofErr w:type="spellEnd"/>
      <w:r w:rsidR="0000061F">
        <w:rPr>
          <w:lang w:val="en-US"/>
        </w:rPr>
        <w:t xml:space="preserve">, </w:t>
      </w:r>
      <w:proofErr w:type="spellStart"/>
      <w:r w:rsidR="0000061F">
        <w:rPr>
          <w:lang w:val="en-US"/>
        </w:rPr>
        <w:t>respon</w:t>
      </w:r>
      <w:proofErr w:type="spellEnd"/>
      <w:r w:rsidR="0000061F">
        <w:rPr>
          <w:lang w:val="en-US"/>
        </w:rPr>
        <w:t xml:space="preserve"> </w:t>
      </w:r>
      <w:proofErr w:type="spellStart"/>
      <w:r w:rsidR="0000061F">
        <w:rPr>
          <w:lang w:val="en-US"/>
        </w:rPr>
        <w:t>terhadap</w:t>
      </w:r>
      <w:proofErr w:type="spellEnd"/>
      <w:r w:rsidR="0000061F">
        <w:rPr>
          <w:lang w:val="en-US"/>
        </w:rPr>
        <w:t xml:space="preserve"> </w:t>
      </w:r>
      <w:proofErr w:type="spellStart"/>
      <w:r w:rsidR="0000061F">
        <w:rPr>
          <w:lang w:val="en-US"/>
        </w:rPr>
        <w:t>pengobatan</w:t>
      </w:r>
      <w:proofErr w:type="spellEnd"/>
      <w:r w:rsidR="0000061F">
        <w:rPr>
          <w:lang w:val="en-US"/>
        </w:rPr>
        <w:t xml:space="preserve"> </w:t>
      </w:r>
      <w:proofErr w:type="spellStart"/>
      <w:r w:rsidR="0000061F">
        <w:rPr>
          <w:lang w:val="en-US"/>
        </w:rPr>
        <w:t>menjadi</w:t>
      </w:r>
      <w:proofErr w:type="spellEnd"/>
      <w:r w:rsidR="0000061F">
        <w:rPr>
          <w:lang w:val="en-US"/>
        </w:rPr>
        <w:t xml:space="preserve"> </w:t>
      </w:r>
      <w:proofErr w:type="spellStart"/>
      <w:r w:rsidR="0000061F">
        <w:rPr>
          <w:lang w:val="en-US"/>
        </w:rPr>
        <w:t>lambat</w:t>
      </w:r>
      <w:proofErr w:type="spellEnd"/>
      <w:r w:rsidR="0000061F">
        <w:rPr>
          <w:lang w:val="en-US"/>
        </w:rPr>
        <w:t xml:space="preserve"> </w:t>
      </w:r>
      <w:proofErr w:type="spellStart"/>
      <w:r w:rsidR="0000061F">
        <w:rPr>
          <w:lang w:val="en-US"/>
        </w:rPr>
        <w:t>bahkan</w:t>
      </w:r>
      <w:proofErr w:type="spellEnd"/>
      <w:r w:rsidR="0000061F">
        <w:rPr>
          <w:lang w:val="en-US"/>
        </w:rPr>
        <w:t xml:space="preserve"> </w:t>
      </w:r>
      <w:proofErr w:type="spellStart"/>
      <w:r w:rsidR="0000061F">
        <w:rPr>
          <w:lang w:val="en-US"/>
        </w:rPr>
        <w:t>gagal</w:t>
      </w:r>
      <w:proofErr w:type="spellEnd"/>
      <w:r w:rsidR="0000061F">
        <w:rPr>
          <w:lang w:val="en-US"/>
        </w:rPr>
        <w:t xml:space="preserve">, </w:t>
      </w:r>
      <w:proofErr w:type="spellStart"/>
      <w:r w:rsidR="0000061F">
        <w:rPr>
          <w:lang w:val="en-US"/>
        </w:rPr>
        <w:t>hingga</w:t>
      </w:r>
      <w:proofErr w:type="spellEnd"/>
      <w:r w:rsidR="0000061F">
        <w:rPr>
          <w:lang w:val="en-US"/>
        </w:rPr>
        <w:t xml:space="preserve"> </w:t>
      </w:r>
      <w:proofErr w:type="spellStart"/>
      <w:r w:rsidR="0000061F">
        <w:rPr>
          <w:lang w:val="en-US"/>
        </w:rPr>
        <w:t>menyebabkan</w:t>
      </w:r>
      <w:proofErr w:type="spellEnd"/>
      <w:r w:rsidR="0000061F">
        <w:rPr>
          <w:lang w:val="en-US"/>
        </w:rPr>
        <w:t xml:space="preserve"> </w:t>
      </w:r>
      <w:proofErr w:type="spellStart"/>
      <w:r w:rsidR="0000061F">
        <w:rPr>
          <w:lang w:val="en-US"/>
        </w:rPr>
        <w:t>kematian</w:t>
      </w:r>
      <w:proofErr w:type="spellEnd"/>
      <w:r w:rsidR="0000061F">
        <w:rPr>
          <w:lang w:val="en-US"/>
        </w:rPr>
        <w:t xml:space="preserve"> </w:t>
      </w:r>
      <w:proofErr w:type="spellStart"/>
      <w:r w:rsidR="0000061F">
        <w:rPr>
          <w:lang w:val="en-US"/>
        </w:rPr>
        <w:t>karena</w:t>
      </w:r>
      <w:proofErr w:type="spellEnd"/>
      <w:r w:rsidR="0000061F">
        <w:rPr>
          <w:lang w:val="en-US"/>
        </w:rPr>
        <w:t xml:space="preserve"> </w:t>
      </w:r>
      <w:proofErr w:type="spellStart"/>
      <w:r w:rsidR="0000061F">
        <w:rPr>
          <w:lang w:val="en-US"/>
        </w:rPr>
        <w:t>tidak</w:t>
      </w:r>
      <w:proofErr w:type="spellEnd"/>
      <w:r w:rsidR="0000061F">
        <w:rPr>
          <w:lang w:val="en-US"/>
        </w:rPr>
        <w:t xml:space="preserve"> </w:t>
      </w:r>
      <w:proofErr w:type="spellStart"/>
      <w:r w:rsidR="0000061F">
        <w:rPr>
          <w:lang w:val="en-US"/>
        </w:rPr>
        <w:t>mendapatkan</w:t>
      </w:r>
      <w:proofErr w:type="spellEnd"/>
      <w:r w:rsidR="0000061F">
        <w:rPr>
          <w:lang w:val="en-US"/>
        </w:rPr>
        <w:t xml:space="preserve"> </w:t>
      </w:r>
      <w:proofErr w:type="spellStart"/>
      <w:r w:rsidR="0000061F">
        <w:rPr>
          <w:lang w:val="en-US"/>
        </w:rPr>
        <w:t>pengobatan</w:t>
      </w:r>
      <w:proofErr w:type="spellEnd"/>
      <w:r w:rsidR="0000061F">
        <w:rPr>
          <w:lang w:val="en-US"/>
        </w:rPr>
        <w:t xml:space="preserve"> yang </w:t>
      </w:r>
      <w:proofErr w:type="spellStart"/>
      <w:r w:rsidR="0000061F">
        <w:rPr>
          <w:lang w:val="en-US"/>
        </w:rPr>
        <w:t>maksimal</w:t>
      </w:r>
      <w:proofErr w:type="spellEnd"/>
      <w:r w:rsidR="0000061F">
        <w:rPr>
          <w:lang w:val="en-US"/>
        </w:rPr>
        <w:t xml:space="preserve"> </w:t>
      </w:r>
      <w:proofErr w:type="spellStart"/>
      <w:r w:rsidR="0000061F">
        <w:rPr>
          <w:lang w:val="en-US"/>
        </w:rPr>
        <w:t>untuk</w:t>
      </w:r>
      <w:proofErr w:type="spellEnd"/>
      <w:r w:rsidR="0000061F">
        <w:rPr>
          <w:lang w:val="en-US"/>
        </w:rPr>
        <w:t xml:space="preserve"> </w:t>
      </w:r>
      <w:proofErr w:type="spellStart"/>
      <w:r w:rsidR="0000061F">
        <w:rPr>
          <w:lang w:val="en-US"/>
        </w:rPr>
        <w:t>penyakitnya</w:t>
      </w:r>
      <w:proofErr w:type="spellEnd"/>
      <w:r w:rsidR="0000061F">
        <w:rPr>
          <w:lang w:val="en-US"/>
        </w:rPr>
        <w:t xml:space="preserve"> </w:t>
      </w:r>
      <w:r w:rsidR="0000061F">
        <w:rPr>
          <w:lang w:val="en-US"/>
        </w:rPr>
        <w:fldChar w:fldCharType="begin" w:fldLock="1"/>
      </w:r>
      <w:r w:rsidR="0000061F">
        <w:rPr>
          <w:lang w:val="en-US"/>
        </w:rPr>
        <w:instrText>ADDIN CSL_CITATION {"citationItems":[{"id":"ITEM-1","itemData":{"DOI":"10.5549/ijsr.1.2.41-44","ISSN":"2321-6662","abstract":"Antimicrobial resistance is one of the biggest challenges faced by public health at the beginning of the third millennium. The global presence of antimicrobial resistance is threatening the continued effectiveness of many current medications. Antibiotic resistance is usually associated with significant morbidity, longer hospitalization, excess costs and mortality. Many factors contribute to the unnecessary use of antibiotics including the phenomenal knowledge boom, direct patient requests, perceptions of patient demand, culture and norms and advertisements and other promotional literature. Self-medication with antimicrobials is often cited as a major factor contributing to drug resistance. The microorganisms employ several mechanisms in attaining multidrug resistance such as they lack of reliance on the glycoprotein cell wall; enzymatic deactivation of antibiotics, decreased cell wall permeability to antibiotics and altered target sites of antibiotic. Efflux mechanisms to remove antibiotics and increased mutation rate are some of the other important mechanism for the antimicrobial resistance. Optimal use of existing antimicrobial agents, using alternative treatment options, reducing the need for antimicrobials by increasing immunity, education of health professionals and patients, antibiotic policies and implementation of infection control measures are the strategies aimed at prevention of emergence and spread of antibiotic resistance.","author":[{"dropping-particle":"","family":"Deshpande","given":"Jayant D","non-dropping-particle":"","parse-names":false,"suffix":""},{"dropping-particle":"","family":"Joshi","given":"Mohini","non-dropping-particle":"","parse-names":false,"suffix":""}],"container-title":"International Journal of Students' Research","id":"ITEM-1","issue":"2","issued":{"date-parts":[["2011"]]},"page":"41-44","title":"Antimicrobial resistance: the global public health challenge","type":"article-journal","volume":"1"},"uris":["http://www.mendeley.com/documents/?uuid=b00c7f1f-69d6-4a3a-a4f5-0952a174cbc4"]}],"mendeley":{"formattedCitation":"(Deshpande &amp; Joshi, 2011)","plainTextFormattedCitation":"(Deshpande &amp; Joshi, 2011)","previouslyFormattedCitation":"(Deshpande &amp; Joshi, 2011)"},"properties":{"noteIndex":0},"schema":"https://github.com/citation-style-language/schema/raw/master/csl-citation.json"}</w:instrText>
      </w:r>
      <w:r w:rsidR="0000061F">
        <w:rPr>
          <w:lang w:val="en-US"/>
        </w:rPr>
        <w:fldChar w:fldCharType="separate"/>
      </w:r>
      <w:r w:rsidR="0000061F" w:rsidRPr="000240F3">
        <w:rPr>
          <w:noProof/>
          <w:lang w:val="en-US"/>
        </w:rPr>
        <w:t>(Deshpande &amp; Joshi, 2011)</w:t>
      </w:r>
      <w:r w:rsidR="0000061F">
        <w:rPr>
          <w:lang w:val="en-US"/>
        </w:rPr>
        <w:fldChar w:fldCharType="end"/>
      </w:r>
    </w:p>
    <w:p w:rsidR="0000061F" w:rsidRDefault="0000061F" w:rsidP="0000061F">
      <w:pPr>
        <w:spacing w:before="6" w:after="0" w:line="360" w:lineRule="auto"/>
        <w:ind w:left="426" w:right="4" w:firstLine="425"/>
        <w:rPr>
          <w:lang w:val="en-US"/>
        </w:rPr>
      </w:pPr>
    </w:p>
    <w:p w:rsidR="0000061F" w:rsidRDefault="0000061F" w:rsidP="0000061F">
      <w:pPr>
        <w:spacing w:before="6" w:after="0" w:line="360" w:lineRule="auto"/>
        <w:ind w:left="426" w:right="4" w:firstLine="425"/>
        <w:rPr>
          <w:lang w:val="en-US"/>
        </w:rPr>
      </w:pPr>
    </w:p>
    <w:p w:rsidR="0000061F" w:rsidRDefault="0000061F" w:rsidP="0000061F">
      <w:pPr>
        <w:spacing w:before="6" w:after="0" w:line="360" w:lineRule="auto"/>
        <w:ind w:left="426" w:right="4"/>
        <w:rPr>
          <w:lang w:val="en-US"/>
        </w:rPr>
      </w:pPr>
      <w:proofErr w:type="spellStart"/>
      <w:r>
        <w:rPr>
          <w:lang w:val="en-US"/>
        </w:rPr>
        <w:t>Tepat</w:t>
      </w:r>
      <w:proofErr w:type="spellEnd"/>
      <w:r>
        <w:rPr>
          <w:lang w:val="en-US"/>
        </w:rPr>
        <w:t xml:space="preserve"> </w:t>
      </w:r>
      <w:proofErr w:type="spellStart"/>
      <w:r>
        <w:rPr>
          <w:lang w:val="en-US"/>
        </w:rPr>
        <w:t>Pasien</w:t>
      </w:r>
      <w:proofErr w:type="spellEnd"/>
    </w:p>
    <w:p w:rsidR="00A66D72" w:rsidRDefault="00A66D72" w:rsidP="00A66D72">
      <w:pPr>
        <w:spacing w:before="6" w:after="0" w:line="360" w:lineRule="auto"/>
        <w:ind w:left="426" w:right="4"/>
        <w:jc w:val="center"/>
        <w:rPr>
          <w:lang w:val="en-US"/>
        </w:rPr>
      </w:pPr>
      <w:proofErr w:type="spellStart"/>
      <w:proofErr w:type="gramStart"/>
      <w:r>
        <w:rPr>
          <w:lang w:val="en-US"/>
        </w:rPr>
        <w:t>Tabel</w:t>
      </w:r>
      <w:proofErr w:type="spellEnd"/>
      <w:r>
        <w:rPr>
          <w:lang w:val="en-US"/>
        </w:rPr>
        <w:t xml:space="preserve"> 7.</w:t>
      </w:r>
      <w:proofErr w:type="gramEnd"/>
      <w:r>
        <w:rPr>
          <w:lang w:val="en-US"/>
        </w:rPr>
        <w:t xml:space="preserve"> </w:t>
      </w:r>
      <w:proofErr w:type="spellStart"/>
      <w:r w:rsidRPr="008C7ECD">
        <w:rPr>
          <w:szCs w:val="24"/>
          <w:lang w:val="en-US"/>
        </w:rPr>
        <w:t>Ketepatan</w:t>
      </w:r>
      <w:proofErr w:type="spellEnd"/>
      <w:r w:rsidRPr="008C7ECD">
        <w:rPr>
          <w:szCs w:val="24"/>
          <w:lang w:val="en-US"/>
        </w:rPr>
        <w:t xml:space="preserve"> </w:t>
      </w:r>
      <w:proofErr w:type="spellStart"/>
      <w:r w:rsidRPr="008C7ECD">
        <w:rPr>
          <w:szCs w:val="24"/>
          <w:lang w:val="en-US"/>
        </w:rPr>
        <w:t>Pasien</w:t>
      </w:r>
      <w:proofErr w:type="spellEnd"/>
    </w:p>
    <w:tbl>
      <w:tblPr>
        <w:tblW w:w="7229" w:type="dxa"/>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50"/>
        <w:gridCol w:w="1669"/>
        <w:gridCol w:w="2410"/>
      </w:tblGrid>
      <w:tr w:rsidR="0000061F" w:rsidRPr="006B495D" w:rsidTr="00720797">
        <w:trPr>
          <w:trHeight w:val="315"/>
        </w:trPr>
        <w:tc>
          <w:tcPr>
            <w:tcW w:w="3150" w:type="dxa"/>
            <w:shd w:val="clear" w:color="auto" w:fill="auto"/>
            <w:noWrap/>
            <w:vAlign w:val="bottom"/>
            <w:hideMark/>
          </w:tcPr>
          <w:p w:rsidR="0000061F" w:rsidRPr="001E552E" w:rsidRDefault="0000061F"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Keterangan</w:t>
            </w:r>
            <w:proofErr w:type="spellEnd"/>
          </w:p>
        </w:tc>
        <w:tc>
          <w:tcPr>
            <w:tcW w:w="1669" w:type="dxa"/>
            <w:shd w:val="clear" w:color="auto" w:fill="auto"/>
            <w:noWrap/>
            <w:vAlign w:val="bottom"/>
            <w:hideMark/>
          </w:tcPr>
          <w:p w:rsidR="0000061F" w:rsidRPr="001E552E" w:rsidRDefault="0000061F"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Jumlah</w:t>
            </w:r>
            <w:proofErr w:type="spellEnd"/>
          </w:p>
        </w:tc>
        <w:tc>
          <w:tcPr>
            <w:tcW w:w="2410" w:type="dxa"/>
            <w:shd w:val="clear" w:color="auto" w:fill="auto"/>
            <w:noWrap/>
            <w:vAlign w:val="bottom"/>
            <w:hideMark/>
          </w:tcPr>
          <w:p w:rsidR="0000061F" w:rsidRPr="001E552E" w:rsidRDefault="0000061F"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Persentase</w:t>
            </w:r>
            <w:proofErr w:type="spellEnd"/>
            <w:r>
              <w:rPr>
                <w:rFonts w:eastAsia="Times New Roman" w:cs="Times New Roman"/>
                <w:b/>
                <w:color w:val="000000"/>
                <w:sz w:val="22"/>
                <w:lang w:val="en-US"/>
              </w:rPr>
              <w:t xml:space="preserve"> (%)</w:t>
            </w:r>
          </w:p>
        </w:tc>
      </w:tr>
      <w:tr w:rsidR="0000061F" w:rsidRPr="006B495D" w:rsidTr="00720797">
        <w:trPr>
          <w:trHeight w:val="315"/>
        </w:trPr>
        <w:tc>
          <w:tcPr>
            <w:tcW w:w="3150"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proofErr w:type="spellStart"/>
            <w:r w:rsidRPr="006B495D">
              <w:rPr>
                <w:rFonts w:eastAsia="Times New Roman" w:cs="Times New Roman"/>
                <w:color w:val="000000"/>
                <w:sz w:val="22"/>
                <w:lang w:val="en-US"/>
              </w:rPr>
              <w:t>Sesuai</w:t>
            </w:r>
            <w:proofErr w:type="spellEnd"/>
          </w:p>
        </w:tc>
        <w:tc>
          <w:tcPr>
            <w:tcW w:w="1669"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410"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w:t>
            </w:r>
          </w:p>
        </w:tc>
      </w:tr>
      <w:tr w:rsidR="0000061F" w:rsidRPr="006B495D" w:rsidTr="00720797">
        <w:trPr>
          <w:trHeight w:val="315"/>
        </w:trPr>
        <w:tc>
          <w:tcPr>
            <w:tcW w:w="3150"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proofErr w:type="spellStart"/>
            <w:r w:rsidRPr="006B495D">
              <w:rPr>
                <w:rFonts w:eastAsia="Times New Roman" w:cs="Times New Roman"/>
                <w:color w:val="000000"/>
                <w:sz w:val="22"/>
                <w:lang w:val="en-US"/>
              </w:rPr>
              <w:t>Tidak</w:t>
            </w:r>
            <w:proofErr w:type="spellEnd"/>
            <w:r w:rsidRPr="006B495D">
              <w:rPr>
                <w:rFonts w:eastAsia="Times New Roman" w:cs="Times New Roman"/>
                <w:color w:val="000000"/>
                <w:sz w:val="22"/>
                <w:lang w:val="en-US"/>
              </w:rPr>
              <w:t xml:space="preserve"> </w:t>
            </w:r>
            <w:proofErr w:type="spellStart"/>
            <w:r w:rsidRPr="006B495D">
              <w:rPr>
                <w:rFonts w:eastAsia="Times New Roman" w:cs="Times New Roman"/>
                <w:color w:val="000000"/>
                <w:sz w:val="22"/>
                <w:lang w:val="en-US"/>
              </w:rPr>
              <w:t>Sesuai</w:t>
            </w:r>
            <w:proofErr w:type="spellEnd"/>
          </w:p>
        </w:tc>
        <w:tc>
          <w:tcPr>
            <w:tcW w:w="1669"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r w:rsidRPr="006B495D">
              <w:rPr>
                <w:rFonts w:eastAsia="Times New Roman" w:cs="Times New Roman"/>
                <w:color w:val="000000"/>
                <w:sz w:val="22"/>
                <w:lang w:val="en-US"/>
              </w:rPr>
              <w:t>0</w:t>
            </w:r>
          </w:p>
        </w:tc>
        <w:tc>
          <w:tcPr>
            <w:tcW w:w="2410" w:type="dxa"/>
            <w:shd w:val="clear" w:color="auto" w:fill="auto"/>
            <w:noWrap/>
            <w:vAlign w:val="bottom"/>
            <w:hideMark/>
          </w:tcPr>
          <w:p w:rsidR="0000061F" w:rsidRPr="006B495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0</w:t>
            </w:r>
          </w:p>
        </w:tc>
      </w:tr>
      <w:tr w:rsidR="0000061F" w:rsidRPr="006B495D" w:rsidTr="00720797">
        <w:trPr>
          <w:trHeight w:val="315"/>
        </w:trPr>
        <w:tc>
          <w:tcPr>
            <w:tcW w:w="3150" w:type="dxa"/>
            <w:shd w:val="clear" w:color="auto" w:fill="auto"/>
            <w:noWrap/>
            <w:vAlign w:val="bottom"/>
          </w:tcPr>
          <w:p w:rsidR="0000061F" w:rsidRPr="006B495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1669" w:type="dxa"/>
            <w:shd w:val="clear" w:color="auto" w:fill="auto"/>
            <w:noWrap/>
            <w:vAlign w:val="bottom"/>
          </w:tcPr>
          <w:p w:rsidR="0000061F" w:rsidRPr="006B495D"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410" w:type="dxa"/>
            <w:shd w:val="clear" w:color="auto" w:fill="auto"/>
            <w:noWrap/>
            <w:vAlign w:val="bottom"/>
          </w:tcPr>
          <w:p w:rsidR="0000061F" w:rsidRPr="006B495D" w:rsidRDefault="0000061F"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8A4F02" w:rsidRDefault="008A4F02" w:rsidP="0000061F">
      <w:pPr>
        <w:spacing w:before="6" w:after="0" w:line="360" w:lineRule="auto"/>
        <w:ind w:left="426" w:right="4" w:firstLine="425"/>
        <w:rPr>
          <w:lang w:val="en-US"/>
        </w:rPr>
      </w:pPr>
    </w:p>
    <w:p w:rsidR="0000061F" w:rsidRDefault="00A66D72" w:rsidP="0000061F">
      <w:pPr>
        <w:spacing w:before="6" w:after="0" w:line="360" w:lineRule="auto"/>
        <w:ind w:left="426" w:right="4" w:firstLine="425"/>
        <w:rPr>
          <w:lang w:val="en-US"/>
        </w:rPr>
      </w:pPr>
      <w:proofErr w:type="gramStart"/>
      <w:r>
        <w:rPr>
          <w:lang w:val="en-US"/>
        </w:rPr>
        <w:t xml:space="preserve">Dari </w:t>
      </w:r>
      <w:proofErr w:type="spellStart"/>
      <w:r>
        <w:rPr>
          <w:lang w:val="en-US"/>
        </w:rPr>
        <w:t>tabel</w:t>
      </w:r>
      <w:proofErr w:type="spellEnd"/>
      <w:r>
        <w:rPr>
          <w:lang w:val="en-US"/>
        </w:rPr>
        <w:t xml:space="preserve"> 7</w:t>
      </w:r>
      <w:r w:rsidR="008A4F02">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r w:rsidR="008A4F02">
        <w:t>tidak ada antibiotik yang memiliki kontraindikasi dengan riwayat pasien (100%), baik itu penyakit komorbid maupun alergi terhadapt antibiotik.</w:t>
      </w:r>
      <w:proofErr w:type="gramEnd"/>
      <w:r w:rsidR="008A4F02">
        <w:rPr>
          <w:lang w:val="en-US"/>
        </w:rPr>
        <w:t xml:space="preserve"> </w:t>
      </w:r>
      <w:proofErr w:type="spellStart"/>
      <w:proofErr w:type="gramStart"/>
      <w:r w:rsidR="008A4F02">
        <w:rPr>
          <w:lang w:val="en-US"/>
        </w:rPr>
        <w:t>Dalam</w:t>
      </w:r>
      <w:proofErr w:type="spellEnd"/>
      <w:r w:rsidR="008A4F02">
        <w:rPr>
          <w:lang w:val="en-US"/>
        </w:rPr>
        <w:t xml:space="preserve"> </w:t>
      </w:r>
      <w:proofErr w:type="spellStart"/>
      <w:r w:rsidR="008A4F02">
        <w:rPr>
          <w:lang w:val="en-US"/>
        </w:rPr>
        <w:t>menentukan</w:t>
      </w:r>
      <w:proofErr w:type="spellEnd"/>
      <w:r w:rsidR="008A4F02">
        <w:rPr>
          <w:lang w:val="en-US"/>
        </w:rPr>
        <w:t xml:space="preserve"> </w:t>
      </w:r>
      <w:proofErr w:type="spellStart"/>
      <w:r w:rsidR="008A4F02">
        <w:rPr>
          <w:lang w:val="en-US"/>
        </w:rPr>
        <w:t>indiktor</w:t>
      </w:r>
      <w:proofErr w:type="spellEnd"/>
      <w:r w:rsidR="008A4F02">
        <w:rPr>
          <w:lang w:val="en-US"/>
        </w:rPr>
        <w:t xml:space="preserve"> </w:t>
      </w:r>
      <w:proofErr w:type="spellStart"/>
      <w:r w:rsidR="008A4F02">
        <w:rPr>
          <w:lang w:val="en-US"/>
        </w:rPr>
        <w:t>ketepatan</w:t>
      </w:r>
      <w:proofErr w:type="spellEnd"/>
      <w:r w:rsidR="008A4F02">
        <w:rPr>
          <w:lang w:val="en-US"/>
        </w:rPr>
        <w:t xml:space="preserve"> </w:t>
      </w:r>
      <w:proofErr w:type="spellStart"/>
      <w:r w:rsidR="008A4F02">
        <w:rPr>
          <w:lang w:val="en-US"/>
        </w:rPr>
        <w:t>pasien</w:t>
      </w:r>
      <w:proofErr w:type="spellEnd"/>
      <w:r w:rsidR="008A4F02">
        <w:rPr>
          <w:lang w:val="en-US"/>
        </w:rPr>
        <w:t xml:space="preserve">, </w:t>
      </w:r>
      <w:proofErr w:type="spellStart"/>
      <w:r w:rsidR="008A4F02">
        <w:rPr>
          <w:lang w:val="en-US"/>
        </w:rPr>
        <w:t>hal</w:t>
      </w:r>
      <w:proofErr w:type="spellEnd"/>
      <w:r w:rsidR="008A4F02">
        <w:rPr>
          <w:lang w:val="en-US"/>
        </w:rPr>
        <w:t xml:space="preserve"> yang </w:t>
      </w:r>
      <w:proofErr w:type="spellStart"/>
      <w:r w:rsidR="008A4F02">
        <w:rPr>
          <w:lang w:val="en-US"/>
        </w:rPr>
        <w:t>perlu</w:t>
      </w:r>
      <w:proofErr w:type="spellEnd"/>
      <w:r w:rsidR="008A4F02">
        <w:rPr>
          <w:lang w:val="en-US"/>
        </w:rPr>
        <w:t xml:space="preserve"> </w:t>
      </w:r>
      <w:proofErr w:type="spellStart"/>
      <w:r w:rsidR="008A4F02">
        <w:rPr>
          <w:lang w:val="en-US"/>
        </w:rPr>
        <w:t>diperhatikan</w:t>
      </w:r>
      <w:proofErr w:type="spellEnd"/>
      <w:r w:rsidR="008A4F02">
        <w:rPr>
          <w:lang w:val="en-US"/>
        </w:rPr>
        <w:t xml:space="preserve"> </w:t>
      </w:r>
      <w:proofErr w:type="spellStart"/>
      <w:r w:rsidR="008A4F02">
        <w:rPr>
          <w:lang w:val="en-US"/>
        </w:rPr>
        <w:t>adalah</w:t>
      </w:r>
      <w:proofErr w:type="spellEnd"/>
      <w:r w:rsidR="008A4F02">
        <w:rPr>
          <w:lang w:val="en-US"/>
        </w:rPr>
        <w:t xml:space="preserve"> </w:t>
      </w:r>
      <w:proofErr w:type="spellStart"/>
      <w:r w:rsidR="008A4F02">
        <w:rPr>
          <w:lang w:val="en-US"/>
        </w:rPr>
        <w:t>kontraindikasi</w:t>
      </w:r>
      <w:proofErr w:type="spellEnd"/>
      <w:r w:rsidR="008A4F02">
        <w:rPr>
          <w:lang w:val="en-US"/>
        </w:rPr>
        <w:t xml:space="preserve"> </w:t>
      </w:r>
      <w:proofErr w:type="spellStart"/>
      <w:r w:rsidR="008A4F02">
        <w:rPr>
          <w:lang w:val="en-US"/>
        </w:rPr>
        <w:t>antara</w:t>
      </w:r>
      <w:proofErr w:type="spellEnd"/>
      <w:r w:rsidR="008A4F02">
        <w:rPr>
          <w:lang w:val="en-US"/>
        </w:rPr>
        <w:t xml:space="preserve"> </w:t>
      </w:r>
      <w:proofErr w:type="spellStart"/>
      <w:r w:rsidR="008A4F02">
        <w:rPr>
          <w:lang w:val="en-US"/>
        </w:rPr>
        <w:t>riwayat</w:t>
      </w:r>
      <w:proofErr w:type="spellEnd"/>
      <w:r w:rsidR="008A4F02">
        <w:rPr>
          <w:lang w:val="en-US"/>
        </w:rPr>
        <w:t xml:space="preserve"> </w:t>
      </w:r>
      <w:proofErr w:type="spellStart"/>
      <w:r w:rsidR="008A4F02">
        <w:rPr>
          <w:lang w:val="en-US"/>
        </w:rPr>
        <w:t>penyakit</w:t>
      </w:r>
      <w:proofErr w:type="spellEnd"/>
      <w:r w:rsidR="008A4F02">
        <w:rPr>
          <w:lang w:val="en-US"/>
        </w:rPr>
        <w:t xml:space="preserve"> </w:t>
      </w:r>
      <w:proofErr w:type="spellStart"/>
      <w:r w:rsidR="008A4F02">
        <w:rPr>
          <w:lang w:val="en-US"/>
        </w:rPr>
        <w:t>pasien</w:t>
      </w:r>
      <w:proofErr w:type="spellEnd"/>
      <w:r w:rsidR="008A4F02">
        <w:rPr>
          <w:lang w:val="en-US"/>
        </w:rPr>
        <w:t xml:space="preserve"> </w:t>
      </w:r>
      <w:proofErr w:type="spellStart"/>
      <w:r w:rsidR="008A4F02">
        <w:rPr>
          <w:lang w:val="en-US"/>
        </w:rPr>
        <w:t>dengan</w:t>
      </w:r>
      <w:proofErr w:type="spellEnd"/>
      <w:r w:rsidR="008A4F02">
        <w:rPr>
          <w:lang w:val="en-US"/>
        </w:rPr>
        <w:t xml:space="preserve"> </w:t>
      </w:r>
      <w:proofErr w:type="spellStart"/>
      <w:r w:rsidR="008A4F02">
        <w:rPr>
          <w:lang w:val="en-US"/>
        </w:rPr>
        <w:t>antibiotik</w:t>
      </w:r>
      <w:proofErr w:type="spellEnd"/>
      <w:r w:rsidR="008A4F02">
        <w:rPr>
          <w:lang w:val="en-US"/>
        </w:rPr>
        <w:t xml:space="preserve"> yang </w:t>
      </w:r>
      <w:proofErr w:type="spellStart"/>
      <w:r w:rsidR="008A4F02">
        <w:rPr>
          <w:lang w:val="en-US"/>
        </w:rPr>
        <w:t>diberikan</w:t>
      </w:r>
      <w:proofErr w:type="spellEnd"/>
      <w:r w:rsidR="008A4F02">
        <w:rPr>
          <w:lang w:val="en-US"/>
        </w:rPr>
        <w:t>.</w:t>
      </w:r>
      <w:proofErr w:type="gramEnd"/>
    </w:p>
    <w:p w:rsidR="00A66D72" w:rsidRDefault="00A66D72" w:rsidP="00A66D72">
      <w:pPr>
        <w:spacing w:before="6" w:after="0" w:line="360" w:lineRule="auto"/>
        <w:ind w:left="426" w:right="4"/>
        <w:rPr>
          <w:lang w:val="en-US"/>
        </w:rPr>
      </w:pPr>
      <w:proofErr w:type="spellStart"/>
      <w:r>
        <w:rPr>
          <w:lang w:val="en-US"/>
        </w:rPr>
        <w:t>Tepat</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Antibiotik</w:t>
      </w:r>
      <w:proofErr w:type="spellEnd"/>
    </w:p>
    <w:p w:rsidR="00A66D72" w:rsidRDefault="00A66D72" w:rsidP="00A66D72">
      <w:pPr>
        <w:spacing w:before="6" w:after="0" w:line="360" w:lineRule="auto"/>
        <w:ind w:left="426" w:right="4"/>
        <w:jc w:val="center"/>
        <w:rPr>
          <w:lang w:val="en-US"/>
        </w:rPr>
      </w:pPr>
      <w:proofErr w:type="spellStart"/>
      <w:proofErr w:type="gramStart"/>
      <w:r>
        <w:rPr>
          <w:lang w:val="en-US"/>
        </w:rPr>
        <w:t>Tabel</w:t>
      </w:r>
      <w:proofErr w:type="spellEnd"/>
      <w:r>
        <w:rPr>
          <w:lang w:val="en-US"/>
        </w:rPr>
        <w:t xml:space="preserve"> 8.</w:t>
      </w:r>
      <w:proofErr w:type="gramEnd"/>
      <w:r>
        <w:rPr>
          <w:lang w:val="en-US"/>
        </w:rPr>
        <w:t xml:space="preserve"> </w:t>
      </w:r>
      <w:proofErr w:type="spellStart"/>
      <w:r w:rsidRPr="008C7ECD">
        <w:rPr>
          <w:szCs w:val="24"/>
          <w:lang w:val="en-US"/>
        </w:rPr>
        <w:t>Ketepatan</w:t>
      </w:r>
      <w:proofErr w:type="spellEnd"/>
      <w:r w:rsidRPr="008C7ECD">
        <w:rPr>
          <w:szCs w:val="24"/>
          <w:lang w:val="en-US"/>
        </w:rPr>
        <w:t xml:space="preserve"> </w:t>
      </w:r>
      <w:proofErr w:type="spellStart"/>
      <w:r w:rsidRPr="008C7ECD">
        <w:rPr>
          <w:szCs w:val="24"/>
          <w:lang w:val="en-US"/>
        </w:rPr>
        <w:t>Penggunaan</w:t>
      </w:r>
      <w:proofErr w:type="spellEnd"/>
      <w:r w:rsidRPr="008C7ECD">
        <w:rPr>
          <w:szCs w:val="24"/>
          <w:lang w:val="en-US"/>
        </w:rPr>
        <w:t xml:space="preserve"> </w:t>
      </w:r>
      <w:proofErr w:type="spellStart"/>
      <w:r w:rsidRPr="008C7ECD">
        <w:rPr>
          <w:szCs w:val="24"/>
          <w:lang w:val="en-US"/>
        </w:rPr>
        <w:t>Antibiotik</w:t>
      </w:r>
      <w:proofErr w:type="spellEnd"/>
    </w:p>
    <w:tbl>
      <w:tblPr>
        <w:tblW w:w="7371" w:type="dxa"/>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68"/>
        <w:gridCol w:w="1451"/>
        <w:gridCol w:w="2552"/>
      </w:tblGrid>
      <w:tr w:rsidR="00A66D72" w:rsidRPr="00DB6D02" w:rsidTr="00720797">
        <w:trPr>
          <w:trHeight w:val="315"/>
        </w:trPr>
        <w:tc>
          <w:tcPr>
            <w:tcW w:w="3368" w:type="dxa"/>
            <w:shd w:val="clear" w:color="auto" w:fill="auto"/>
            <w:noWrap/>
            <w:vAlign w:val="bottom"/>
            <w:hideMark/>
          </w:tcPr>
          <w:p w:rsidR="00A66D72" w:rsidRPr="001E552E" w:rsidRDefault="00A66D72"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Keterangan</w:t>
            </w:r>
            <w:proofErr w:type="spellEnd"/>
          </w:p>
        </w:tc>
        <w:tc>
          <w:tcPr>
            <w:tcW w:w="1451" w:type="dxa"/>
            <w:shd w:val="clear" w:color="auto" w:fill="auto"/>
            <w:noWrap/>
            <w:vAlign w:val="bottom"/>
            <w:hideMark/>
          </w:tcPr>
          <w:p w:rsidR="00A66D72" w:rsidRPr="001E552E" w:rsidRDefault="00A66D72"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Jumlah</w:t>
            </w:r>
            <w:proofErr w:type="spellEnd"/>
          </w:p>
        </w:tc>
        <w:tc>
          <w:tcPr>
            <w:tcW w:w="2552" w:type="dxa"/>
            <w:shd w:val="clear" w:color="auto" w:fill="auto"/>
            <w:noWrap/>
            <w:vAlign w:val="bottom"/>
            <w:hideMark/>
          </w:tcPr>
          <w:p w:rsidR="00A66D72" w:rsidRPr="001E552E" w:rsidRDefault="00A66D72" w:rsidP="00720797">
            <w:pPr>
              <w:spacing w:after="0" w:line="240" w:lineRule="auto"/>
              <w:jc w:val="center"/>
              <w:rPr>
                <w:rFonts w:eastAsia="Times New Roman" w:cs="Times New Roman"/>
                <w:b/>
                <w:color w:val="000000"/>
                <w:sz w:val="22"/>
                <w:lang w:val="en-US"/>
              </w:rPr>
            </w:pPr>
            <w:proofErr w:type="spellStart"/>
            <w:r w:rsidRPr="001E552E">
              <w:rPr>
                <w:rFonts w:eastAsia="Times New Roman" w:cs="Times New Roman"/>
                <w:b/>
                <w:color w:val="000000"/>
                <w:sz w:val="22"/>
                <w:lang w:val="en-US"/>
              </w:rPr>
              <w:t>Persentase</w:t>
            </w:r>
            <w:proofErr w:type="spellEnd"/>
            <w:r>
              <w:rPr>
                <w:rFonts w:eastAsia="Times New Roman" w:cs="Times New Roman"/>
                <w:b/>
                <w:color w:val="000000"/>
                <w:sz w:val="22"/>
                <w:lang w:val="en-US"/>
              </w:rPr>
              <w:t xml:space="preserve"> (%)</w:t>
            </w:r>
          </w:p>
        </w:tc>
      </w:tr>
      <w:tr w:rsidR="00A66D72" w:rsidRPr="00DB6D02" w:rsidTr="00720797">
        <w:trPr>
          <w:trHeight w:val="315"/>
        </w:trPr>
        <w:tc>
          <w:tcPr>
            <w:tcW w:w="3368"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proofErr w:type="spellStart"/>
            <w:r w:rsidRPr="00DB6D02">
              <w:rPr>
                <w:rFonts w:eastAsia="Times New Roman" w:cs="Times New Roman"/>
                <w:color w:val="000000"/>
                <w:sz w:val="22"/>
                <w:lang w:val="en-US"/>
              </w:rPr>
              <w:t>Tepat</w:t>
            </w:r>
            <w:proofErr w:type="spellEnd"/>
          </w:p>
        </w:tc>
        <w:tc>
          <w:tcPr>
            <w:tcW w:w="1451"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44</w:t>
            </w:r>
          </w:p>
        </w:tc>
        <w:tc>
          <w:tcPr>
            <w:tcW w:w="2552"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73,33</w:t>
            </w:r>
          </w:p>
        </w:tc>
      </w:tr>
      <w:tr w:rsidR="00A66D72" w:rsidRPr="00DB6D02" w:rsidTr="00720797">
        <w:trPr>
          <w:trHeight w:val="315"/>
        </w:trPr>
        <w:tc>
          <w:tcPr>
            <w:tcW w:w="3368"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proofErr w:type="spellStart"/>
            <w:r w:rsidRPr="00DB6D02">
              <w:rPr>
                <w:rFonts w:eastAsia="Times New Roman" w:cs="Times New Roman"/>
                <w:color w:val="000000"/>
                <w:sz w:val="22"/>
                <w:lang w:val="en-US"/>
              </w:rPr>
              <w:t>Tidak</w:t>
            </w:r>
            <w:proofErr w:type="spellEnd"/>
            <w:r w:rsidRPr="00DB6D02">
              <w:rPr>
                <w:rFonts w:eastAsia="Times New Roman" w:cs="Times New Roman"/>
                <w:color w:val="000000"/>
                <w:sz w:val="22"/>
                <w:lang w:val="en-US"/>
              </w:rPr>
              <w:t xml:space="preserve"> </w:t>
            </w:r>
            <w:proofErr w:type="spellStart"/>
            <w:r w:rsidRPr="00DB6D02">
              <w:rPr>
                <w:rFonts w:eastAsia="Times New Roman" w:cs="Times New Roman"/>
                <w:color w:val="000000"/>
                <w:sz w:val="22"/>
                <w:lang w:val="en-US"/>
              </w:rPr>
              <w:t>Tepat</w:t>
            </w:r>
            <w:proofErr w:type="spellEnd"/>
          </w:p>
        </w:tc>
        <w:tc>
          <w:tcPr>
            <w:tcW w:w="1451"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16</w:t>
            </w:r>
          </w:p>
        </w:tc>
        <w:tc>
          <w:tcPr>
            <w:tcW w:w="2552" w:type="dxa"/>
            <w:shd w:val="clear" w:color="auto" w:fill="auto"/>
            <w:noWrap/>
            <w:vAlign w:val="bottom"/>
            <w:hideMark/>
          </w:tcPr>
          <w:p w:rsidR="00A66D72" w:rsidRPr="00DB6D0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26,67</w:t>
            </w:r>
          </w:p>
        </w:tc>
      </w:tr>
      <w:tr w:rsidR="00A66D72" w:rsidRPr="00DB6D02" w:rsidTr="00720797">
        <w:trPr>
          <w:trHeight w:val="315"/>
        </w:trPr>
        <w:tc>
          <w:tcPr>
            <w:tcW w:w="3368" w:type="dxa"/>
            <w:shd w:val="clear" w:color="auto" w:fill="auto"/>
            <w:noWrap/>
            <w:vAlign w:val="bottom"/>
          </w:tcPr>
          <w:p w:rsidR="00A66D72" w:rsidRPr="00DB6D0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Total</w:t>
            </w:r>
          </w:p>
        </w:tc>
        <w:tc>
          <w:tcPr>
            <w:tcW w:w="1451" w:type="dxa"/>
            <w:shd w:val="clear" w:color="auto" w:fill="auto"/>
            <w:noWrap/>
            <w:vAlign w:val="bottom"/>
          </w:tcPr>
          <w:p w:rsidR="00A66D72" w:rsidRDefault="00B42F5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60</w:t>
            </w:r>
          </w:p>
        </w:tc>
        <w:tc>
          <w:tcPr>
            <w:tcW w:w="2552" w:type="dxa"/>
            <w:shd w:val="clear" w:color="auto" w:fill="auto"/>
            <w:noWrap/>
            <w:vAlign w:val="bottom"/>
          </w:tcPr>
          <w:p w:rsidR="00A66D72" w:rsidRDefault="00A66D72" w:rsidP="00720797">
            <w:pPr>
              <w:spacing w:after="0" w:line="240" w:lineRule="auto"/>
              <w:jc w:val="center"/>
              <w:rPr>
                <w:rFonts w:eastAsia="Times New Roman" w:cs="Times New Roman"/>
                <w:color w:val="000000"/>
                <w:sz w:val="22"/>
                <w:lang w:val="en-US"/>
              </w:rPr>
            </w:pPr>
            <w:r>
              <w:rPr>
                <w:rFonts w:eastAsia="Times New Roman" w:cs="Times New Roman"/>
                <w:color w:val="000000"/>
                <w:sz w:val="22"/>
                <w:lang w:val="en-US"/>
              </w:rPr>
              <w:t>100,00</w:t>
            </w:r>
          </w:p>
        </w:tc>
      </w:tr>
    </w:tbl>
    <w:p w:rsidR="00D54B4B" w:rsidRDefault="00D54B4B" w:rsidP="00A66D72">
      <w:pPr>
        <w:spacing w:before="6" w:line="360" w:lineRule="auto"/>
        <w:ind w:left="426" w:right="4" w:firstLine="294"/>
        <w:rPr>
          <w:lang w:val="en-US"/>
        </w:rPr>
        <w:sectPr w:rsidR="00D54B4B" w:rsidSect="00B0474D">
          <w:type w:val="continuous"/>
          <w:pgSz w:w="12240" w:h="15840"/>
          <w:pgMar w:top="1440" w:right="1440" w:bottom="1440" w:left="1440" w:header="708" w:footer="708" w:gutter="0"/>
          <w:cols w:space="708"/>
          <w:docGrid w:linePitch="360"/>
        </w:sectPr>
      </w:pPr>
    </w:p>
    <w:p w:rsidR="00D54B4B" w:rsidRDefault="00A66D72" w:rsidP="00D54B4B">
      <w:pPr>
        <w:spacing w:before="6" w:line="360" w:lineRule="auto"/>
        <w:ind w:left="426" w:right="4" w:firstLine="294"/>
        <w:rPr>
          <w:lang w:val="en-US"/>
        </w:rPr>
      </w:pPr>
      <w:r>
        <w:rPr>
          <w:lang w:val="en-US"/>
        </w:rPr>
        <w:lastRenderedPageBreak/>
        <w:t xml:space="preserve">Dari </w:t>
      </w:r>
      <w:proofErr w:type="spellStart"/>
      <w:r>
        <w:rPr>
          <w:lang w:val="en-US"/>
        </w:rPr>
        <w:t>tabel</w:t>
      </w:r>
      <w:proofErr w:type="spellEnd"/>
      <w:r>
        <w:rPr>
          <w:lang w:val="en-US"/>
        </w:rPr>
        <w:t xml:space="preserve"> 8,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rasionalitas</w:t>
      </w:r>
      <w:proofErr w:type="spellEnd"/>
      <w:r>
        <w:rPr>
          <w:lang w:val="en-US"/>
        </w:rPr>
        <w:t xml:space="preserve"> </w:t>
      </w:r>
      <w:proofErr w:type="spellStart"/>
      <w:r>
        <w:rPr>
          <w:lang w:val="en-US"/>
        </w:rPr>
        <w:t>pengobatan</w:t>
      </w:r>
      <w:proofErr w:type="spellEnd"/>
      <w:r>
        <w:rPr>
          <w:lang w:val="en-US"/>
        </w:rPr>
        <w:t xml:space="preserve"> </w:t>
      </w:r>
      <w:proofErr w:type="spellStart"/>
      <w:r>
        <w:rPr>
          <w:lang w:val="en-US"/>
        </w:rPr>
        <w:t>berjumlah</w:t>
      </w:r>
      <w:proofErr w:type="spellEnd"/>
      <w:r>
        <w:rPr>
          <w:lang w:val="en-US"/>
        </w:rPr>
        <w:t xml:space="preserve"> 44 orang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73,33%, </w:t>
      </w:r>
      <w:proofErr w:type="spellStart"/>
      <w:r>
        <w:rPr>
          <w:lang w:val="en-US"/>
        </w:rPr>
        <w:t>sedangkan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pasien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kerasionalitas</w:t>
      </w:r>
      <w:proofErr w:type="spellEnd"/>
      <w:r>
        <w:rPr>
          <w:lang w:val="en-US"/>
        </w:rPr>
        <w:t xml:space="preserve"> </w:t>
      </w:r>
      <w:proofErr w:type="spellStart"/>
      <w:r w:rsidR="00D54B4B">
        <w:rPr>
          <w:lang w:val="en-US"/>
        </w:rPr>
        <w:t>pengobatan</w:t>
      </w:r>
      <w:proofErr w:type="spellEnd"/>
      <w:r w:rsidR="00D54B4B">
        <w:rPr>
          <w:lang w:val="en-US"/>
        </w:rPr>
        <w:t xml:space="preserve"> </w:t>
      </w:r>
      <w:proofErr w:type="spellStart"/>
      <w:r w:rsidR="00D54B4B">
        <w:rPr>
          <w:lang w:val="en-US"/>
        </w:rPr>
        <w:t>mencapai</w:t>
      </w:r>
      <w:proofErr w:type="spellEnd"/>
      <w:r w:rsidR="00D54B4B">
        <w:rPr>
          <w:lang w:val="en-US"/>
        </w:rPr>
        <w:t xml:space="preserve"> 16 orang </w:t>
      </w:r>
      <w:proofErr w:type="spellStart"/>
      <w:r w:rsidR="00D54B4B">
        <w:rPr>
          <w:lang w:val="en-US"/>
        </w:rPr>
        <w:t>dengan</w:t>
      </w:r>
      <w:proofErr w:type="spellEnd"/>
      <w:r w:rsidR="00D54B4B">
        <w:rPr>
          <w:lang w:val="en-US"/>
        </w:rPr>
        <w:t xml:space="preserve"> </w:t>
      </w:r>
      <w:proofErr w:type="spellStart"/>
      <w:r w:rsidR="00D54B4B">
        <w:rPr>
          <w:lang w:val="en-US"/>
        </w:rPr>
        <w:t>persentase</w:t>
      </w:r>
      <w:proofErr w:type="spellEnd"/>
      <w:r w:rsidR="00D54B4B">
        <w:rPr>
          <w:lang w:val="en-US"/>
        </w:rPr>
        <w:t xml:space="preserve"> 26,67%. Hal </w:t>
      </w:r>
      <w:proofErr w:type="spellStart"/>
      <w:r w:rsidR="00D54B4B">
        <w:rPr>
          <w:lang w:val="en-US"/>
        </w:rPr>
        <w:t>ini</w:t>
      </w:r>
      <w:proofErr w:type="spellEnd"/>
      <w:r w:rsidR="00D54B4B">
        <w:rPr>
          <w:lang w:val="en-US"/>
        </w:rPr>
        <w:t xml:space="preserve"> </w:t>
      </w:r>
      <w:proofErr w:type="spellStart"/>
      <w:r w:rsidR="00D54B4B">
        <w:rPr>
          <w:lang w:val="en-US"/>
        </w:rPr>
        <w:t>disebabkan</w:t>
      </w:r>
      <w:proofErr w:type="spellEnd"/>
      <w:r w:rsidR="00D54B4B">
        <w:rPr>
          <w:lang w:val="en-US"/>
        </w:rPr>
        <w:t xml:space="preserve"> </w:t>
      </w:r>
      <w:proofErr w:type="spellStart"/>
      <w:r w:rsidR="00D54B4B">
        <w:rPr>
          <w:lang w:val="en-US"/>
        </w:rPr>
        <w:t>peresepan</w:t>
      </w:r>
      <w:proofErr w:type="spellEnd"/>
      <w:r w:rsidR="00D54B4B">
        <w:rPr>
          <w:lang w:val="en-US"/>
        </w:rPr>
        <w:t xml:space="preserve"> </w:t>
      </w:r>
      <w:proofErr w:type="spellStart"/>
      <w:r w:rsidR="00D54B4B">
        <w:rPr>
          <w:lang w:val="en-US"/>
        </w:rPr>
        <w:t>antibiotik</w:t>
      </w:r>
      <w:proofErr w:type="spellEnd"/>
      <w:r w:rsidR="00D54B4B">
        <w:rPr>
          <w:lang w:val="en-US"/>
        </w:rPr>
        <w:t xml:space="preserve"> yang </w:t>
      </w:r>
      <w:proofErr w:type="spellStart"/>
      <w:r w:rsidR="00D54B4B">
        <w:rPr>
          <w:lang w:val="en-US"/>
        </w:rPr>
        <w:t>tidak</w:t>
      </w:r>
      <w:proofErr w:type="spellEnd"/>
      <w:r w:rsidR="00D54B4B">
        <w:rPr>
          <w:lang w:val="en-US"/>
        </w:rPr>
        <w:t xml:space="preserve"> </w:t>
      </w:r>
      <w:proofErr w:type="spellStart"/>
      <w:r w:rsidR="00D54B4B">
        <w:rPr>
          <w:lang w:val="en-US"/>
        </w:rPr>
        <w:t>tepat</w:t>
      </w:r>
      <w:proofErr w:type="spellEnd"/>
      <w:r w:rsidR="00D54B4B">
        <w:rPr>
          <w:lang w:val="en-US"/>
        </w:rPr>
        <w:t xml:space="preserve"> </w:t>
      </w:r>
      <w:proofErr w:type="spellStart"/>
      <w:r w:rsidR="00D54B4B">
        <w:rPr>
          <w:lang w:val="en-US"/>
        </w:rPr>
        <w:t>sasaran</w:t>
      </w:r>
      <w:proofErr w:type="spellEnd"/>
      <w:r w:rsidR="00D54B4B">
        <w:rPr>
          <w:lang w:val="en-US"/>
        </w:rPr>
        <w:t xml:space="preserve">, </w:t>
      </w:r>
      <w:proofErr w:type="spellStart"/>
      <w:r w:rsidR="00D54B4B">
        <w:rPr>
          <w:lang w:val="en-US"/>
        </w:rPr>
        <w:t>baik</w:t>
      </w:r>
      <w:proofErr w:type="spellEnd"/>
      <w:r w:rsidR="00D54B4B">
        <w:rPr>
          <w:lang w:val="en-US"/>
        </w:rPr>
        <w:t xml:space="preserve"> </w:t>
      </w:r>
      <w:proofErr w:type="spellStart"/>
      <w:r w:rsidR="00D54B4B">
        <w:rPr>
          <w:lang w:val="en-US"/>
        </w:rPr>
        <w:t>diagnosa</w:t>
      </w:r>
      <w:proofErr w:type="spellEnd"/>
      <w:r w:rsidR="00D54B4B">
        <w:rPr>
          <w:lang w:val="en-US"/>
        </w:rPr>
        <w:t xml:space="preserve">, </w:t>
      </w:r>
      <w:proofErr w:type="spellStart"/>
      <w:r w:rsidR="00D54B4B">
        <w:rPr>
          <w:lang w:val="en-US"/>
        </w:rPr>
        <w:t>dosis</w:t>
      </w:r>
      <w:proofErr w:type="spellEnd"/>
      <w:r w:rsidR="00D54B4B">
        <w:rPr>
          <w:lang w:val="en-US"/>
        </w:rPr>
        <w:t xml:space="preserve"> </w:t>
      </w:r>
      <w:proofErr w:type="spellStart"/>
      <w:r w:rsidR="00D54B4B">
        <w:rPr>
          <w:lang w:val="en-US"/>
        </w:rPr>
        <w:t>maupun</w:t>
      </w:r>
      <w:proofErr w:type="spellEnd"/>
      <w:r w:rsidR="00D54B4B">
        <w:rPr>
          <w:lang w:val="en-US"/>
        </w:rPr>
        <w:t xml:space="preserve"> </w:t>
      </w:r>
      <w:proofErr w:type="spellStart"/>
      <w:r w:rsidR="00D54B4B">
        <w:rPr>
          <w:lang w:val="en-US"/>
        </w:rPr>
        <w:t>keduanya</w:t>
      </w:r>
      <w:proofErr w:type="spellEnd"/>
    </w:p>
    <w:p w:rsidR="00D54B4B" w:rsidRDefault="00D54B4B" w:rsidP="00D54B4B">
      <w:pPr>
        <w:spacing w:before="6" w:after="0" w:line="360" w:lineRule="auto"/>
        <w:ind w:right="4"/>
        <w:rPr>
          <w:b/>
          <w:lang w:val="en-US"/>
        </w:rPr>
      </w:pPr>
      <w:proofErr w:type="spellStart"/>
      <w:r w:rsidRPr="00A66D72">
        <w:rPr>
          <w:b/>
          <w:lang w:val="en-US"/>
        </w:rPr>
        <w:lastRenderedPageBreak/>
        <w:t>Simpulan</w:t>
      </w:r>
      <w:proofErr w:type="spellEnd"/>
    </w:p>
    <w:p w:rsidR="008E537F" w:rsidRDefault="00D54B4B" w:rsidP="005502DE">
      <w:pPr>
        <w:spacing w:before="6" w:after="0" w:line="360" w:lineRule="auto"/>
        <w:ind w:right="4"/>
        <w:rPr>
          <w:lang w:val="en-US"/>
        </w:rPr>
      </w:pPr>
      <w:proofErr w:type="gramStart"/>
      <w:r>
        <w:rPr>
          <w:lang w:val="en-US"/>
        </w:rPr>
        <w:t xml:space="preserve">Dari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dari</w:t>
      </w:r>
      <w:proofErr w:type="spellEnd"/>
      <w:r>
        <w:rPr>
          <w:lang w:val="en-US"/>
        </w:rPr>
        <w:t xml:space="preserve"> 60 </w:t>
      </w:r>
      <w:proofErr w:type="spellStart"/>
      <w:r>
        <w:rPr>
          <w:lang w:val="en-US"/>
        </w:rPr>
        <w:t>rekam</w:t>
      </w:r>
      <w:proofErr w:type="spellEnd"/>
      <w:r>
        <w:rPr>
          <w:lang w:val="en-US"/>
        </w:rPr>
        <w:t xml:space="preserve"> </w:t>
      </w:r>
      <w:proofErr w:type="spellStart"/>
      <w:r>
        <w:rPr>
          <w:lang w:val="en-US"/>
        </w:rPr>
        <w:t>medik</w:t>
      </w:r>
      <w:proofErr w:type="spellEnd"/>
      <w:r>
        <w:rPr>
          <w:lang w:val="en-US"/>
        </w:rPr>
        <w:t xml:space="preserve"> </w:t>
      </w:r>
      <w:proofErr w:type="spellStart"/>
      <w:r>
        <w:rPr>
          <w:lang w:val="en-US"/>
        </w:rPr>
        <w:t>pasien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sampel</w:t>
      </w:r>
      <w:proofErr w:type="spellEnd"/>
      <w:r>
        <w:rPr>
          <w:lang w:val="en-US"/>
        </w:rPr>
        <w:t>.</w:t>
      </w:r>
      <w:proofErr w:type="gramEnd"/>
      <w:r>
        <w:rPr>
          <w:lang w:val="en-US"/>
        </w:rPr>
        <w:t xml:space="preserve"> </w:t>
      </w:r>
      <w:proofErr w:type="spellStart"/>
      <w:r>
        <w:rPr>
          <w:lang w:val="en-US"/>
        </w:rPr>
        <w:t>Pada</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antibiotik</w:t>
      </w:r>
      <w:proofErr w:type="spellEnd"/>
      <w:r>
        <w:rPr>
          <w:lang w:val="en-US"/>
        </w:rPr>
        <w:t xml:space="preserve"> </w:t>
      </w:r>
      <w:proofErr w:type="spellStart"/>
      <w:r>
        <w:rPr>
          <w:lang w:val="en-US"/>
        </w:rPr>
        <w:t>terdapat</w:t>
      </w:r>
      <w:proofErr w:type="spellEnd"/>
      <w:r>
        <w:rPr>
          <w:lang w:val="en-US"/>
        </w:rPr>
        <w:t xml:space="preserve"> </w:t>
      </w:r>
      <w:proofErr w:type="gramStart"/>
      <w:r>
        <w:rPr>
          <w:lang w:val="en-US"/>
        </w:rPr>
        <w:t>44  (</w:t>
      </w:r>
      <w:proofErr w:type="gramEnd"/>
      <w:r>
        <w:rPr>
          <w:lang w:val="en-US"/>
        </w:rPr>
        <w:t xml:space="preserve">73,33%) </w:t>
      </w:r>
      <w:proofErr w:type="spellStart"/>
      <w:r>
        <w:rPr>
          <w:lang w:val="en-US"/>
        </w:rPr>
        <w:t>pasien</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antibiotik</w:t>
      </w:r>
      <w:proofErr w:type="spellEnd"/>
      <w:r>
        <w:rPr>
          <w:lang w:val="en-US"/>
        </w:rPr>
        <w:t xml:space="preserve"> yang </w:t>
      </w:r>
      <w:proofErr w:type="spellStart"/>
      <w:r>
        <w:rPr>
          <w:lang w:val="en-US"/>
        </w:rPr>
        <w:t>tepat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pemeriksaan</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indikasi</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hasil</w:t>
      </w:r>
      <w:proofErr w:type="spellEnd"/>
      <w:r>
        <w:rPr>
          <w:lang w:val="en-US"/>
        </w:rPr>
        <w:t xml:space="preserve">  46  (76,67%)  </w:t>
      </w:r>
      <w:proofErr w:type="spellStart"/>
      <w:r>
        <w:rPr>
          <w:lang w:val="en-US"/>
        </w:rPr>
        <w:t>rekam</w:t>
      </w:r>
      <w:proofErr w:type="spellEnd"/>
      <w:r>
        <w:rPr>
          <w:lang w:val="en-US"/>
        </w:rPr>
        <w:t xml:space="preserve"> </w:t>
      </w:r>
      <w:proofErr w:type="spellStart"/>
      <w:r>
        <w:rPr>
          <w:lang w:val="en-US"/>
        </w:rPr>
        <w:t>medik</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indikasi</w:t>
      </w:r>
      <w:proofErr w:type="spellEnd"/>
      <w:r>
        <w:rPr>
          <w:lang w:val="en-US"/>
        </w:rPr>
        <w:t>,</w:t>
      </w:r>
      <w:r w:rsidRPr="00D54B4B">
        <w:rPr>
          <w:lang w:val="en-US"/>
        </w:rPr>
        <w:t xml:space="preserve"> </w:t>
      </w:r>
      <w:proofErr w:type="spellStart"/>
      <w:r>
        <w:rPr>
          <w:lang w:val="en-US"/>
        </w:rPr>
        <w:t>sedan</w:t>
      </w:r>
      <w:r w:rsidR="005502DE">
        <w:rPr>
          <w:lang w:val="en-US"/>
        </w:rPr>
        <w:t>gkan</w:t>
      </w:r>
      <w:proofErr w:type="spellEnd"/>
      <w:r w:rsidR="005502DE">
        <w:rPr>
          <w:lang w:val="en-US"/>
        </w:rPr>
        <w:t xml:space="preserve"> </w:t>
      </w:r>
      <w:proofErr w:type="spellStart"/>
      <w:r w:rsidR="005502DE">
        <w:rPr>
          <w:lang w:val="en-US"/>
        </w:rPr>
        <w:t>untuk</w:t>
      </w:r>
      <w:proofErr w:type="spellEnd"/>
      <w:r w:rsidR="005502DE">
        <w:rPr>
          <w:lang w:val="en-US"/>
        </w:rPr>
        <w:t xml:space="preserve"> </w:t>
      </w:r>
      <w:proofErr w:type="spellStart"/>
      <w:r w:rsidR="005502DE">
        <w:rPr>
          <w:lang w:val="en-US"/>
        </w:rPr>
        <w:t>evaluasi</w:t>
      </w:r>
      <w:proofErr w:type="spellEnd"/>
      <w:r w:rsidR="005502DE">
        <w:rPr>
          <w:lang w:val="en-US"/>
        </w:rPr>
        <w:t xml:space="preserve"> </w:t>
      </w:r>
      <w:proofErr w:type="spellStart"/>
      <w:r w:rsidR="005502DE">
        <w:rPr>
          <w:lang w:val="en-US"/>
        </w:rPr>
        <w:t>tepat</w:t>
      </w:r>
      <w:proofErr w:type="spellEnd"/>
      <w:r w:rsidR="005502DE">
        <w:rPr>
          <w:lang w:val="en-US"/>
        </w:rPr>
        <w:t xml:space="preserve"> </w:t>
      </w:r>
      <w:proofErr w:type="spellStart"/>
      <w:r w:rsidR="005502DE">
        <w:rPr>
          <w:lang w:val="en-US"/>
        </w:rPr>
        <w:t>dosis</w:t>
      </w:r>
      <w:proofErr w:type="spellEnd"/>
      <w:r w:rsidR="005502DE" w:rsidRPr="005502DE">
        <w:rPr>
          <w:lang w:val="en-US"/>
        </w:rPr>
        <w:t xml:space="preserve"> </w:t>
      </w:r>
      <w:proofErr w:type="spellStart"/>
      <w:r w:rsidR="005502DE">
        <w:rPr>
          <w:lang w:val="en-US"/>
        </w:rPr>
        <w:lastRenderedPageBreak/>
        <w:t>berjumlah</w:t>
      </w:r>
      <w:proofErr w:type="spellEnd"/>
      <w:r w:rsidR="005502DE">
        <w:rPr>
          <w:lang w:val="en-US"/>
        </w:rPr>
        <w:t xml:space="preserve"> 44 (73,33%)  </w:t>
      </w:r>
      <w:proofErr w:type="spellStart"/>
      <w:r w:rsidR="005502DE">
        <w:rPr>
          <w:lang w:val="en-US"/>
        </w:rPr>
        <w:t>dan</w:t>
      </w:r>
      <w:proofErr w:type="spellEnd"/>
      <w:r w:rsidR="005502DE">
        <w:rPr>
          <w:lang w:val="en-US"/>
        </w:rPr>
        <w:t xml:space="preserve"> </w:t>
      </w:r>
      <w:proofErr w:type="spellStart"/>
      <w:r w:rsidR="005502DE">
        <w:rPr>
          <w:lang w:val="en-US"/>
        </w:rPr>
        <w:t>pada</w:t>
      </w:r>
      <w:proofErr w:type="spellEnd"/>
      <w:r w:rsidR="005502DE">
        <w:rPr>
          <w:lang w:val="en-US"/>
        </w:rPr>
        <w:t xml:space="preserve"> </w:t>
      </w:r>
      <w:proofErr w:type="spellStart"/>
      <w:r w:rsidR="005502DE">
        <w:rPr>
          <w:lang w:val="en-US"/>
        </w:rPr>
        <w:t>evaluasi</w:t>
      </w:r>
      <w:proofErr w:type="spellEnd"/>
      <w:r w:rsidR="005502DE">
        <w:rPr>
          <w:lang w:val="en-US"/>
        </w:rPr>
        <w:t xml:space="preserve"> </w:t>
      </w:r>
      <w:proofErr w:type="spellStart"/>
      <w:r w:rsidR="005502DE">
        <w:rPr>
          <w:lang w:val="en-US"/>
        </w:rPr>
        <w:t>tepat</w:t>
      </w:r>
      <w:proofErr w:type="spellEnd"/>
      <w:r w:rsidR="005502DE">
        <w:rPr>
          <w:lang w:val="en-US"/>
        </w:rPr>
        <w:t xml:space="preserve"> </w:t>
      </w:r>
      <w:proofErr w:type="spellStart"/>
      <w:r w:rsidR="005502DE">
        <w:rPr>
          <w:lang w:val="en-US"/>
        </w:rPr>
        <w:t>pasien</w:t>
      </w:r>
      <w:proofErr w:type="spellEnd"/>
      <w:r w:rsidR="005502DE">
        <w:rPr>
          <w:lang w:val="en-US"/>
        </w:rPr>
        <w:t xml:space="preserve"> </w:t>
      </w:r>
      <w:proofErr w:type="spellStart"/>
      <w:r w:rsidR="005502DE">
        <w:rPr>
          <w:lang w:val="en-US"/>
        </w:rPr>
        <w:t>didapatkan</w:t>
      </w:r>
      <w:proofErr w:type="spellEnd"/>
      <w:r w:rsidR="005502DE">
        <w:rPr>
          <w:lang w:val="en-US"/>
        </w:rPr>
        <w:t xml:space="preserve"> 60 (100%)  </w:t>
      </w:r>
      <w:proofErr w:type="spellStart"/>
      <w:r w:rsidR="005502DE">
        <w:rPr>
          <w:lang w:val="en-US"/>
        </w:rPr>
        <w:t>rekam</w:t>
      </w:r>
      <w:proofErr w:type="spellEnd"/>
      <w:r w:rsidR="005502DE">
        <w:rPr>
          <w:lang w:val="en-US"/>
        </w:rPr>
        <w:t xml:space="preserve"> </w:t>
      </w:r>
      <w:proofErr w:type="spellStart"/>
      <w:r w:rsidR="005502DE">
        <w:rPr>
          <w:lang w:val="en-US"/>
        </w:rPr>
        <w:t>medik</w:t>
      </w:r>
      <w:proofErr w:type="spellEnd"/>
      <w:r w:rsidR="005502DE">
        <w:rPr>
          <w:lang w:val="en-US"/>
        </w:rPr>
        <w:t xml:space="preserve"> </w:t>
      </w:r>
      <w:proofErr w:type="spellStart"/>
      <w:r w:rsidR="005502DE">
        <w:rPr>
          <w:lang w:val="en-US"/>
        </w:rPr>
        <w:t>termasuk</w:t>
      </w:r>
      <w:proofErr w:type="spellEnd"/>
      <w:r w:rsidR="005502DE">
        <w:rPr>
          <w:lang w:val="en-US"/>
        </w:rPr>
        <w:t xml:space="preserve"> </w:t>
      </w:r>
      <w:proofErr w:type="spellStart"/>
      <w:r w:rsidR="005502DE">
        <w:rPr>
          <w:lang w:val="en-US"/>
        </w:rPr>
        <w:t>ke</w:t>
      </w:r>
      <w:proofErr w:type="spellEnd"/>
      <w:r w:rsidR="005502DE">
        <w:rPr>
          <w:lang w:val="en-US"/>
        </w:rPr>
        <w:t xml:space="preserve"> </w:t>
      </w:r>
      <w:proofErr w:type="spellStart"/>
      <w:r w:rsidR="005502DE">
        <w:rPr>
          <w:lang w:val="en-US"/>
        </w:rPr>
        <w:t>dalam</w:t>
      </w:r>
      <w:proofErr w:type="spellEnd"/>
      <w:r w:rsidR="005502DE">
        <w:rPr>
          <w:lang w:val="en-US"/>
        </w:rPr>
        <w:t xml:space="preserve"> </w:t>
      </w:r>
      <w:proofErr w:type="spellStart"/>
      <w:r w:rsidR="005502DE">
        <w:rPr>
          <w:lang w:val="en-US"/>
        </w:rPr>
        <w:t>kriteria</w:t>
      </w:r>
      <w:proofErr w:type="spellEnd"/>
      <w:r w:rsidR="005502DE">
        <w:rPr>
          <w:lang w:val="en-US"/>
        </w:rPr>
        <w:t xml:space="preserve"> </w:t>
      </w:r>
      <w:proofErr w:type="spellStart"/>
      <w:r w:rsidR="005502DE">
        <w:rPr>
          <w:lang w:val="en-US"/>
        </w:rPr>
        <w:t>tepat</w:t>
      </w:r>
      <w:proofErr w:type="spellEnd"/>
      <w:r w:rsidR="005502DE">
        <w:rPr>
          <w:lang w:val="en-US"/>
        </w:rPr>
        <w:t xml:space="preserve"> </w:t>
      </w:r>
      <w:proofErr w:type="spellStart"/>
      <w:r w:rsidR="005502DE">
        <w:rPr>
          <w:lang w:val="en-US"/>
        </w:rPr>
        <w:t>pasien</w:t>
      </w:r>
      <w:proofErr w:type="spellEnd"/>
    </w:p>
    <w:p w:rsidR="005502DE" w:rsidRDefault="005502DE" w:rsidP="005502DE">
      <w:pPr>
        <w:spacing w:before="6" w:after="0" w:line="360" w:lineRule="auto"/>
        <w:ind w:right="4"/>
        <w:rPr>
          <w:rFonts w:eastAsia="Times New Roman" w:cs="Times New Roman"/>
          <w:b/>
          <w:szCs w:val="24"/>
          <w:lang w:val="en-US"/>
        </w:rPr>
      </w:pPr>
      <w:proofErr w:type="spellStart"/>
      <w:r w:rsidRPr="005502DE">
        <w:rPr>
          <w:rFonts w:eastAsia="Times New Roman" w:cs="Times New Roman"/>
          <w:b/>
          <w:szCs w:val="24"/>
          <w:lang w:val="en-US"/>
        </w:rPr>
        <w:t>Daftar</w:t>
      </w:r>
      <w:proofErr w:type="spellEnd"/>
      <w:r w:rsidRPr="005502DE">
        <w:rPr>
          <w:rFonts w:eastAsia="Times New Roman" w:cs="Times New Roman"/>
          <w:b/>
          <w:szCs w:val="24"/>
          <w:lang w:val="en-US"/>
        </w:rPr>
        <w:t xml:space="preserve"> </w:t>
      </w:r>
      <w:proofErr w:type="spellStart"/>
      <w:r w:rsidRPr="005502DE">
        <w:rPr>
          <w:rFonts w:eastAsia="Times New Roman" w:cs="Times New Roman"/>
          <w:b/>
          <w:szCs w:val="24"/>
          <w:lang w:val="en-US"/>
        </w:rPr>
        <w:t>Pustaka</w:t>
      </w:r>
      <w:proofErr w:type="spellEnd"/>
    </w:p>
    <w:sdt>
      <w:sdtPr>
        <w:id w:val="111145805"/>
        <w:bibliography/>
      </w:sdtPr>
      <w:sdtEndPr/>
      <w:sdtContent>
        <w:p w:rsidR="005502DE" w:rsidRPr="0061179C" w:rsidRDefault="005502DE" w:rsidP="005502DE">
          <w:pPr>
            <w:widowControl w:val="0"/>
            <w:autoSpaceDE w:val="0"/>
            <w:autoSpaceDN w:val="0"/>
            <w:adjustRightInd w:val="0"/>
            <w:spacing w:line="240" w:lineRule="auto"/>
            <w:ind w:left="709" w:hanging="709"/>
            <w:rPr>
              <w:rFonts w:cs="Times New Roman"/>
              <w:noProof/>
              <w:szCs w:val="24"/>
              <w:lang w:val="en-US"/>
            </w:rPr>
          </w:pPr>
          <w:r w:rsidRPr="0061179C">
            <w:rPr>
              <w:rFonts w:cs="Times New Roman"/>
              <w:noProof/>
              <w:szCs w:val="24"/>
            </w:rPr>
            <w:t xml:space="preserve">Abdullah, M., Chai, P. S., Chong, M. Y., Tohit, E. R. M., Ramasamy, R., Pei, C. P., &amp; Vidyadaran, S. (2012). Gender effect on in vitro lymphocyte subset levels of healthy individuals. </w:t>
          </w:r>
          <w:r w:rsidRPr="0061179C">
            <w:rPr>
              <w:rFonts w:cs="Times New Roman"/>
              <w:i/>
              <w:iCs/>
              <w:noProof/>
              <w:szCs w:val="24"/>
            </w:rPr>
            <w:t>Cellular Immunology</w:t>
          </w:r>
          <w:r w:rsidRPr="0061179C">
            <w:rPr>
              <w:rFonts w:cs="Times New Roman"/>
              <w:noProof/>
              <w:szCs w:val="24"/>
            </w:rPr>
            <w:t xml:space="preserve">, </w:t>
          </w:r>
          <w:r w:rsidRPr="0061179C">
            <w:rPr>
              <w:rFonts w:cs="Times New Roman"/>
              <w:i/>
              <w:iCs/>
              <w:noProof/>
              <w:szCs w:val="24"/>
            </w:rPr>
            <w:t>272</w:t>
          </w:r>
          <w:r w:rsidRPr="0061179C">
            <w:rPr>
              <w:rFonts w:cs="Times New Roman"/>
              <w:noProof/>
              <w:szCs w:val="24"/>
            </w:rPr>
            <w:t>(2), 214–219. https://doi.or</w:t>
          </w:r>
          <w:r>
            <w:rPr>
              <w:rFonts w:cs="Times New Roman"/>
              <w:noProof/>
              <w:szCs w:val="24"/>
            </w:rPr>
            <w:t>g/10.1016/j.cellimm.2011.10.009</w:t>
          </w:r>
        </w:p>
        <w:p w:rsidR="005502DE" w:rsidRDefault="005502DE" w:rsidP="005502DE">
          <w:pPr>
            <w:pStyle w:val="Bibliography"/>
            <w:ind w:left="720" w:hanging="720"/>
            <w:rPr>
              <w:noProof/>
              <w:lang w:val="en-US"/>
            </w:rPr>
          </w:pPr>
          <w:r>
            <w:fldChar w:fldCharType="begin"/>
          </w:r>
          <w:r w:rsidRPr="005502DE">
            <w:instrText xml:space="preserve"> BIBLIOGRAPHY </w:instrText>
          </w:r>
          <w:r>
            <w:fldChar w:fldCharType="separate"/>
          </w:r>
          <w:r>
            <w:rPr>
              <w:noProof/>
            </w:rPr>
            <w:t xml:space="preserve">American Pharmacist Association. (2012). </w:t>
          </w:r>
          <w:r>
            <w:rPr>
              <w:i/>
              <w:iCs/>
              <w:noProof/>
            </w:rPr>
            <w:t>Drug Information Handbook 21.</w:t>
          </w:r>
          <w:r>
            <w:rPr>
              <w:noProof/>
            </w:rPr>
            <w:t xml:space="preserve"> Ohio: Lexicomp.</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Amiri Jabalbarez, F., Dabaghzadeh, F., &amp; Oghabian, Z. (2020). Role of pharmacists in reducing antibiotic prescribing errors in an emergency department. </w:t>
          </w:r>
          <w:r w:rsidRPr="00FE5D0F">
            <w:rPr>
              <w:rFonts w:cs="Times New Roman"/>
              <w:i/>
              <w:iCs/>
              <w:noProof/>
              <w:szCs w:val="24"/>
            </w:rPr>
            <w:t>Journal of Pharmacy Practice and Research</w:t>
          </w:r>
          <w:r w:rsidRPr="00FE5D0F">
            <w:rPr>
              <w:rFonts w:cs="Times New Roman"/>
              <w:noProof/>
              <w:szCs w:val="24"/>
            </w:rPr>
            <w:t xml:space="preserve">, </w:t>
          </w:r>
          <w:r w:rsidRPr="00FE5D0F">
            <w:rPr>
              <w:rFonts w:cs="Times New Roman"/>
              <w:i/>
              <w:iCs/>
              <w:noProof/>
              <w:szCs w:val="24"/>
            </w:rPr>
            <w:t>50</w:t>
          </w:r>
          <w:r w:rsidRPr="00FE5D0F">
            <w:rPr>
              <w:rFonts w:cs="Times New Roman"/>
              <w:noProof/>
              <w:szCs w:val="24"/>
            </w:rPr>
            <w:t>(1), 42–47. ht</w:t>
          </w:r>
          <w:r>
            <w:rPr>
              <w:rFonts w:cs="Times New Roman"/>
              <w:noProof/>
              <w:szCs w:val="24"/>
            </w:rPr>
            <w:t>tps://doi.org/10.1002/jppr.1586</w:t>
          </w:r>
        </w:p>
        <w:p w:rsidR="005502DE" w:rsidRPr="00FE5D0F" w:rsidRDefault="005502DE" w:rsidP="005502DE">
          <w:pPr>
            <w:widowControl w:val="0"/>
            <w:autoSpaceDE w:val="0"/>
            <w:autoSpaceDN w:val="0"/>
            <w:adjustRightInd w:val="0"/>
            <w:spacing w:after="240" w:line="240" w:lineRule="auto"/>
            <w:ind w:left="480" w:hanging="480"/>
            <w:rPr>
              <w:rFonts w:cs="Times New Roman"/>
              <w:noProof/>
              <w:szCs w:val="24"/>
              <w:lang w:val="en-US"/>
            </w:rPr>
          </w:pPr>
          <w:r w:rsidRPr="00FE5D0F">
            <w:rPr>
              <w:rFonts w:cs="Times New Roman"/>
              <w:noProof/>
              <w:szCs w:val="24"/>
            </w:rPr>
            <w:t xml:space="preserve">BNF. (2020). BNF 80 (British National Formulary) September 2020. In </w:t>
          </w:r>
          <w:r w:rsidRPr="00FE5D0F">
            <w:rPr>
              <w:rFonts w:cs="Times New Roman"/>
              <w:i/>
              <w:iCs/>
              <w:noProof/>
              <w:szCs w:val="24"/>
            </w:rPr>
            <w:t>Bnf</w:t>
          </w:r>
          <w:r>
            <w:rPr>
              <w:rFonts w:cs="Times New Roman"/>
              <w:noProof/>
              <w:szCs w:val="24"/>
            </w:rPr>
            <w:t xml:space="preserve"> (p. 381).</w:t>
          </w:r>
        </w:p>
        <w:p w:rsidR="005502DE" w:rsidRDefault="005502DE" w:rsidP="005502DE">
          <w:pPr>
            <w:pStyle w:val="Bibliography"/>
            <w:ind w:left="720" w:hanging="720"/>
            <w:rPr>
              <w:noProof/>
            </w:rPr>
          </w:pPr>
          <w:r>
            <w:rPr>
              <w:noProof/>
            </w:rPr>
            <w:t xml:space="preserve">Center for Disease Control and Prevention. (2014). </w:t>
          </w:r>
          <w:r>
            <w:rPr>
              <w:i/>
              <w:iCs/>
              <w:noProof/>
            </w:rPr>
            <w:t>Antibiotik Resistance Threats in the United States.</w:t>
          </w:r>
          <w:r>
            <w:rPr>
              <w:noProof/>
            </w:rPr>
            <w:t xml:space="preserve"> Atlanta: CDC.</w:t>
          </w:r>
        </w:p>
        <w:p w:rsidR="005502DE" w:rsidRDefault="005502DE" w:rsidP="005502DE">
          <w:pPr>
            <w:pStyle w:val="Bibliography"/>
            <w:ind w:left="720" w:hanging="720"/>
            <w:rPr>
              <w:noProof/>
            </w:rPr>
          </w:pPr>
          <w:r>
            <w:rPr>
              <w:noProof/>
            </w:rPr>
            <w:t xml:space="preserve">Coenan, S., Ferech, M., FHM, R., Butler, C., Sticele, R., &amp; Goosens, S. (2007). European surveillance of antimicrobial consumption (ESAC): quality indicator for outpatient antibiotik use in Europe. </w:t>
          </w:r>
          <w:r>
            <w:rPr>
              <w:i/>
              <w:iCs/>
              <w:noProof/>
            </w:rPr>
            <w:t>Qual Saf Health Care BMJ</w:t>
          </w:r>
          <w:r>
            <w:rPr>
              <w:noProof/>
            </w:rPr>
            <w:t>, 440-445.</w:t>
          </w:r>
        </w:p>
        <w:p w:rsidR="005502DE" w:rsidRDefault="005502DE" w:rsidP="005502DE">
          <w:pPr>
            <w:pStyle w:val="Bibliography"/>
            <w:ind w:left="720" w:hanging="720"/>
            <w:rPr>
              <w:noProof/>
              <w:lang w:val="en-US"/>
            </w:rPr>
          </w:pPr>
          <w:r>
            <w:rPr>
              <w:noProof/>
            </w:rPr>
            <w:lastRenderedPageBreak/>
            <w:t xml:space="preserve">Departemen Kesehatan Republik Indonesia. (2009). </w:t>
          </w:r>
          <w:r>
            <w:rPr>
              <w:i/>
              <w:iCs/>
              <w:noProof/>
            </w:rPr>
            <w:t>Sistem kesehatan nasional</w:t>
          </w:r>
          <w:r>
            <w:rPr>
              <w:noProof/>
            </w:rPr>
            <w:t>. Dipetik Juny 6, 2021, dari www.depkes.go.id</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Deshpande, J. D., &amp; Joshi, M. (2011). Antimicrobial resistance: the global public health challenge. </w:t>
          </w:r>
          <w:r w:rsidRPr="00FE5D0F">
            <w:rPr>
              <w:rFonts w:cs="Times New Roman"/>
              <w:i/>
              <w:iCs/>
              <w:noProof/>
              <w:szCs w:val="24"/>
            </w:rPr>
            <w:t>International Journal of Students’ Research</w:t>
          </w:r>
          <w:r w:rsidRPr="00FE5D0F">
            <w:rPr>
              <w:rFonts w:cs="Times New Roman"/>
              <w:noProof/>
              <w:szCs w:val="24"/>
            </w:rPr>
            <w:t xml:space="preserve">, </w:t>
          </w:r>
          <w:r w:rsidRPr="00FE5D0F">
            <w:rPr>
              <w:rFonts w:cs="Times New Roman"/>
              <w:i/>
              <w:iCs/>
              <w:noProof/>
              <w:szCs w:val="24"/>
            </w:rPr>
            <w:t>1</w:t>
          </w:r>
          <w:r w:rsidRPr="00FE5D0F">
            <w:rPr>
              <w:rFonts w:cs="Times New Roman"/>
              <w:noProof/>
              <w:szCs w:val="24"/>
            </w:rPr>
            <w:t>(2), 41–44. https:/</w:t>
          </w:r>
          <w:r>
            <w:rPr>
              <w:rFonts w:cs="Times New Roman"/>
              <w:noProof/>
              <w:szCs w:val="24"/>
            </w:rPr>
            <w:t>/doi.org/10.5549/ijsr.1.2.41-44</w:t>
          </w:r>
        </w:p>
        <w:p w:rsidR="005502DE" w:rsidRDefault="005502DE" w:rsidP="005502DE">
          <w:pPr>
            <w:pStyle w:val="Bibliography"/>
            <w:ind w:left="720" w:hanging="720"/>
            <w:rPr>
              <w:noProof/>
            </w:rPr>
          </w:pPr>
          <w:r>
            <w:rPr>
              <w:noProof/>
            </w:rPr>
            <w:t xml:space="preserve">Dirga, Khairunnisa, S. M., &amp; Akhmad, A. D. (2021). Evaluasi Penggunaan Antibiotik pada Pasien Rawat Inap di Bangsal Penyakit Dalam RSUD. Dr. H. Abdul Moeloek Provinsi Lampung. </w:t>
          </w:r>
          <w:r>
            <w:rPr>
              <w:i/>
              <w:iCs/>
              <w:noProof/>
            </w:rPr>
            <w:t>Jurnal Kefarmasian Indonesia</w:t>
          </w:r>
          <w:r>
            <w:rPr>
              <w:noProof/>
            </w:rPr>
            <w:t>, 65-75.</w:t>
          </w:r>
        </w:p>
        <w:p w:rsidR="005502DE" w:rsidRDefault="005502DE" w:rsidP="005502DE">
          <w:pPr>
            <w:pStyle w:val="Bibliography"/>
            <w:ind w:left="720" w:hanging="720"/>
            <w:rPr>
              <w:noProof/>
              <w:lang w:val="en-US"/>
            </w:rPr>
          </w:pPr>
          <w:r>
            <w:rPr>
              <w:noProof/>
            </w:rPr>
            <w:t xml:space="preserve">Everett Stephens, M. (2019, September 27). </w:t>
          </w:r>
          <w:r>
            <w:rPr>
              <w:i/>
              <w:iCs/>
              <w:noProof/>
            </w:rPr>
            <w:t>EMedicineHealth</w:t>
          </w:r>
          <w:r>
            <w:rPr>
              <w:noProof/>
            </w:rPr>
            <w:t>. Dipetik April 25, 2021, dari http://www.emedicinehealth.com/antibiotics/article_m.htm</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rPr>
          </w:pPr>
          <w:r w:rsidRPr="00FE5D0F">
            <w:rPr>
              <w:rFonts w:cs="Times New Roman"/>
              <w:noProof/>
              <w:szCs w:val="24"/>
            </w:rPr>
            <w:t xml:space="preserve">Gans, S. L., Pols, M. A., Stoker, J., &amp; Boermeester, M. A. (2015). Guideline for the diagnostic pathway in patients with acute abdominal pain. </w:t>
          </w:r>
          <w:r w:rsidRPr="00FE5D0F">
            <w:rPr>
              <w:rFonts w:cs="Times New Roman"/>
              <w:i/>
              <w:iCs/>
              <w:noProof/>
              <w:szCs w:val="24"/>
            </w:rPr>
            <w:t>Digestive Surgery</w:t>
          </w:r>
          <w:r w:rsidRPr="00FE5D0F">
            <w:rPr>
              <w:rFonts w:cs="Times New Roman"/>
              <w:noProof/>
              <w:szCs w:val="24"/>
            </w:rPr>
            <w:t xml:space="preserve">, </w:t>
          </w:r>
          <w:r w:rsidRPr="00FE5D0F">
            <w:rPr>
              <w:rFonts w:cs="Times New Roman"/>
              <w:i/>
              <w:iCs/>
              <w:noProof/>
              <w:szCs w:val="24"/>
            </w:rPr>
            <w:t>32</w:t>
          </w:r>
          <w:r w:rsidRPr="00FE5D0F">
            <w:rPr>
              <w:rFonts w:cs="Times New Roman"/>
              <w:noProof/>
              <w:szCs w:val="24"/>
            </w:rPr>
            <w:t>(1), 23–31. https://doi.org/10.1159/000371583</w:t>
          </w:r>
        </w:p>
        <w:p w:rsidR="005502DE" w:rsidRPr="00FE5D0F" w:rsidRDefault="005502DE" w:rsidP="005502DE">
          <w:pPr>
            <w:rPr>
              <w:lang w:val="en-US"/>
            </w:rPr>
          </w:pPr>
        </w:p>
        <w:p w:rsidR="005502DE" w:rsidRDefault="005502DE" w:rsidP="005502DE">
          <w:pPr>
            <w:pStyle w:val="Bibliography"/>
            <w:ind w:left="720" w:hanging="720"/>
            <w:rPr>
              <w:noProof/>
              <w:lang w:val="en-US"/>
            </w:rPr>
          </w:pPr>
          <w:r>
            <w:rPr>
              <w:noProof/>
            </w:rPr>
            <w:t xml:space="preserve">Gums, J. (2002). Assessing the impact of antimicrobial resistance. </w:t>
          </w:r>
          <w:r>
            <w:rPr>
              <w:i/>
              <w:iCs/>
              <w:noProof/>
            </w:rPr>
            <w:t>Am J Health Syst Pharm</w:t>
          </w:r>
          <w:r>
            <w:rPr>
              <w:noProof/>
            </w:rPr>
            <w:t>, 54-56.</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H. Moglad, E., Fatima, F., Muqtader A, M., Devanathad, V., Khalid Anw, M., &amp; F. Aldawsa, M. (2020). Development of Topical Antibacterial Gel Loaded with Cefadroxil Solid Lipid </w:t>
          </w:r>
          <w:r w:rsidRPr="00FE5D0F">
            <w:rPr>
              <w:rFonts w:cs="Times New Roman"/>
              <w:noProof/>
              <w:szCs w:val="24"/>
            </w:rPr>
            <w:lastRenderedPageBreak/>
            <w:t xml:space="preserve">Nanoparticles: In vivo Wound Healing Activity and Epithelialization Study. </w:t>
          </w:r>
          <w:r w:rsidRPr="00FE5D0F">
            <w:rPr>
              <w:rFonts w:cs="Times New Roman"/>
              <w:i/>
              <w:iCs/>
              <w:noProof/>
              <w:szCs w:val="24"/>
            </w:rPr>
            <w:t>International Journal of Pharmacology</w:t>
          </w:r>
          <w:r w:rsidRPr="00FE5D0F">
            <w:rPr>
              <w:rFonts w:cs="Times New Roman"/>
              <w:noProof/>
              <w:szCs w:val="24"/>
            </w:rPr>
            <w:t xml:space="preserve">, </w:t>
          </w:r>
          <w:r w:rsidRPr="00FE5D0F">
            <w:rPr>
              <w:rFonts w:cs="Times New Roman"/>
              <w:i/>
              <w:iCs/>
              <w:noProof/>
              <w:szCs w:val="24"/>
            </w:rPr>
            <w:t>16</w:t>
          </w:r>
          <w:r w:rsidRPr="00FE5D0F">
            <w:rPr>
              <w:rFonts w:cs="Times New Roman"/>
              <w:noProof/>
              <w:szCs w:val="24"/>
            </w:rPr>
            <w:t>(4), 298–309. https://d</w:t>
          </w:r>
          <w:r>
            <w:rPr>
              <w:rFonts w:cs="Times New Roman"/>
              <w:noProof/>
              <w:szCs w:val="24"/>
            </w:rPr>
            <w:t>oi.org/10.3923/ijp.2020.298.309</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Hersh, A. L., Shapiro, D. J., Pavia, A. T., &amp; Shah, S. S. (2011). Antibiotic prescribing in ambulatory pediatrics in the United States. </w:t>
          </w:r>
          <w:r w:rsidRPr="00FE5D0F">
            <w:rPr>
              <w:rFonts w:cs="Times New Roman"/>
              <w:i/>
              <w:iCs/>
              <w:noProof/>
              <w:szCs w:val="24"/>
            </w:rPr>
            <w:t>Pediatrics</w:t>
          </w:r>
          <w:r w:rsidRPr="00FE5D0F">
            <w:rPr>
              <w:rFonts w:cs="Times New Roman"/>
              <w:noProof/>
              <w:szCs w:val="24"/>
            </w:rPr>
            <w:t xml:space="preserve">, </w:t>
          </w:r>
          <w:r w:rsidRPr="00FE5D0F">
            <w:rPr>
              <w:rFonts w:cs="Times New Roman"/>
              <w:i/>
              <w:iCs/>
              <w:noProof/>
              <w:szCs w:val="24"/>
            </w:rPr>
            <w:t>128</w:t>
          </w:r>
          <w:r w:rsidRPr="00FE5D0F">
            <w:rPr>
              <w:rFonts w:cs="Times New Roman"/>
              <w:noProof/>
              <w:szCs w:val="24"/>
            </w:rPr>
            <w:t>(6), 1053–1061. https:/</w:t>
          </w:r>
          <w:r>
            <w:rPr>
              <w:rFonts w:cs="Times New Roman"/>
              <w:noProof/>
              <w:szCs w:val="24"/>
            </w:rPr>
            <w:t>/doi.org/10.1542/peds.2011-1337</w:t>
          </w:r>
        </w:p>
        <w:p w:rsidR="005502DE" w:rsidRDefault="005502DE" w:rsidP="005502DE">
          <w:pPr>
            <w:pStyle w:val="Bibliography"/>
            <w:ind w:left="720" w:hanging="720"/>
            <w:rPr>
              <w:noProof/>
            </w:rPr>
          </w:pPr>
          <w:r>
            <w:rPr>
              <w:noProof/>
            </w:rPr>
            <w:t xml:space="preserve">Ho, P., Wong, R., Yip, K. L., Leung, M., &amp; Mak, G. (2007). Antimicrobial resistance in Escherichia coli outpatient urinary isolates from women emerging multidrug resistance phenotypes. </w:t>
          </w:r>
          <w:r>
            <w:rPr>
              <w:i/>
              <w:iCs/>
              <w:noProof/>
            </w:rPr>
            <w:t>Diagn Microbiol Infect Dis</w:t>
          </w:r>
          <w:r>
            <w:rPr>
              <w:noProof/>
            </w:rPr>
            <w:t>, 439-445.</w:t>
          </w:r>
        </w:p>
        <w:p w:rsidR="005502DE" w:rsidRDefault="005502DE" w:rsidP="005502DE">
          <w:pPr>
            <w:pStyle w:val="Bibliography"/>
            <w:ind w:left="720" w:hanging="720"/>
            <w:rPr>
              <w:noProof/>
            </w:rPr>
          </w:pPr>
          <w:r>
            <w:rPr>
              <w:noProof/>
            </w:rPr>
            <w:t xml:space="preserve">Kementerian Kesehatan Repeblik Indonsia. (2011). </w:t>
          </w:r>
          <w:r>
            <w:rPr>
              <w:i/>
              <w:iCs/>
              <w:noProof/>
            </w:rPr>
            <w:t>Pedoman Pelayanan Kefarmasian Untuk Terapi Antibiotik.</w:t>
          </w:r>
          <w:r>
            <w:rPr>
              <w:noProof/>
            </w:rPr>
            <w:t xml:space="preserve"> Jakarta: Kementrian Kesehatan Republik Indonesia.</w:t>
          </w:r>
        </w:p>
        <w:p w:rsidR="005502DE" w:rsidRDefault="005502DE" w:rsidP="005502DE">
          <w:pPr>
            <w:pStyle w:val="Bibliography"/>
            <w:ind w:left="720" w:hanging="720"/>
            <w:rPr>
              <w:noProof/>
            </w:rPr>
          </w:pPr>
          <w:r>
            <w:rPr>
              <w:noProof/>
            </w:rPr>
            <w:t xml:space="preserve">Kementerian Kesehatan Republik Indonesia. (2018). </w:t>
          </w:r>
          <w:r>
            <w:rPr>
              <w:i/>
              <w:iCs/>
              <w:noProof/>
            </w:rPr>
            <w:t>Peraturan Menteri Kesehatan Repbulik Indonesia No.47: tentang Pelayanan Kesehatan Gawat Darurat.</w:t>
          </w:r>
          <w:r>
            <w:rPr>
              <w:noProof/>
            </w:rPr>
            <w:t xml:space="preserve"> Jakarta: KEMENKES RI.</w:t>
          </w:r>
        </w:p>
        <w:p w:rsidR="005502DE" w:rsidRDefault="005502DE" w:rsidP="005502DE">
          <w:pPr>
            <w:pStyle w:val="Bibliography"/>
            <w:ind w:left="720" w:hanging="720"/>
            <w:rPr>
              <w:noProof/>
              <w:lang w:val="en-US"/>
            </w:rPr>
          </w:pPr>
          <w:r>
            <w:rPr>
              <w:noProof/>
            </w:rPr>
            <w:t xml:space="preserve">Knobeler, S. (2003). </w:t>
          </w:r>
          <w:r>
            <w:rPr>
              <w:i/>
              <w:iCs/>
              <w:noProof/>
            </w:rPr>
            <w:t>The resistance phenomenon in microbes and infectious disease vectors: implications for human health and strategies for containment.</w:t>
          </w:r>
          <w:r>
            <w:rPr>
              <w:noProof/>
            </w:rPr>
            <w:t xml:space="preserve"> Washington DC: National Academies Press.</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lastRenderedPageBreak/>
            <w:t xml:space="preserve">Kraus, D., &amp; Peschel, A. (2006). Molecular mechanisms of bacterial resistance to antimicrobial peptides. </w:t>
          </w:r>
          <w:r w:rsidRPr="00FE5D0F">
            <w:rPr>
              <w:rFonts w:cs="Times New Roman"/>
              <w:i/>
              <w:iCs/>
              <w:noProof/>
              <w:szCs w:val="24"/>
            </w:rPr>
            <w:t>Current Topics in Microbiology and Immunology</w:t>
          </w:r>
          <w:r w:rsidRPr="00FE5D0F">
            <w:rPr>
              <w:rFonts w:cs="Times New Roman"/>
              <w:noProof/>
              <w:szCs w:val="24"/>
            </w:rPr>
            <w:t xml:space="preserve">, </w:t>
          </w:r>
          <w:r w:rsidRPr="00FE5D0F">
            <w:rPr>
              <w:rFonts w:cs="Times New Roman"/>
              <w:i/>
              <w:iCs/>
              <w:noProof/>
              <w:szCs w:val="24"/>
            </w:rPr>
            <w:t>306</w:t>
          </w:r>
          <w:r w:rsidRPr="00FE5D0F">
            <w:rPr>
              <w:rFonts w:cs="Times New Roman"/>
              <w:noProof/>
              <w:szCs w:val="24"/>
            </w:rPr>
            <w:t>(March), 231–250. https://doi.org/10.1007/3-5</w:t>
          </w:r>
          <w:r>
            <w:rPr>
              <w:rFonts w:cs="Times New Roman"/>
              <w:noProof/>
              <w:szCs w:val="24"/>
            </w:rPr>
            <w:t>40-29916-5_9</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rPr>
          </w:pPr>
          <w:r w:rsidRPr="00FE5D0F">
            <w:rPr>
              <w:rFonts w:cs="Times New Roman"/>
              <w:noProof/>
              <w:szCs w:val="24"/>
            </w:rPr>
            <w:t xml:space="preserve">Leekha, S., Terrell, C. L., &amp; Edson, R. S. (2011). General principles of antimicrobial therapy. </w:t>
          </w:r>
          <w:r w:rsidRPr="00FE5D0F">
            <w:rPr>
              <w:rFonts w:cs="Times New Roman"/>
              <w:i/>
              <w:iCs/>
              <w:noProof/>
              <w:szCs w:val="24"/>
            </w:rPr>
            <w:t>Mayo Clinic Proceedings</w:t>
          </w:r>
          <w:r w:rsidRPr="00FE5D0F">
            <w:rPr>
              <w:rFonts w:cs="Times New Roman"/>
              <w:noProof/>
              <w:szCs w:val="24"/>
            </w:rPr>
            <w:t xml:space="preserve">, </w:t>
          </w:r>
          <w:r w:rsidRPr="00FE5D0F">
            <w:rPr>
              <w:rFonts w:cs="Times New Roman"/>
              <w:i/>
              <w:iCs/>
              <w:noProof/>
              <w:szCs w:val="24"/>
            </w:rPr>
            <w:t>86</w:t>
          </w:r>
          <w:r w:rsidRPr="00FE5D0F">
            <w:rPr>
              <w:rFonts w:cs="Times New Roman"/>
              <w:noProof/>
              <w:szCs w:val="24"/>
            </w:rPr>
            <w:t>(2), 156–167. https://doi.org/10.4065/mcp.2010.0639</w:t>
          </w:r>
        </w:p>
        <w:p w:rsidR="005502DE" w:rsidRPr="00FE5D0F" w:rsidRDefault="005502DE" w:rsidP="005502DE">
          <w:pPr>
            <w:widowControl w:val="0"/>
            <w:autoSpaceDE w:val="0"/>
            <w:autoSpaceDN w:val="0"/>
            <w:adjustRightInd w:val="0"/>
            <w:spacing w:after="240" w:line="240" w:lineRule="auto"/>
            <w:ind w:left="480" w:hanging="480"/>
            <w:rPr>
              <w:rFonts w:cs="Times New Roman"/>
              <w:noProof/>
              <w:szCs w:val="24"/>
              <w:lang w:val="en-US"/>
            </w:rPr>
          </w:pPr>
        </w:p>
        <w:p w:rsidR="005502DE" w:rsidRDefault="005502DE" w:rsidP="005502DE">
          <w:pPr>
            <w:pStyle w:val="Bibliography"/>
            <w:ind w:left="720" w:hanging="720"/>
            <w:rPr>
              <w:noProof/>
            </w:rPr>
          </w:pPr>
          <w:r>
            <w:rPr>
              <w:noProof/>
            </w:rPr>
            <w:t xml:space="preserve">Liu, S., Mei, L., Liang, X., Liao, L., Lv, G., Ma, S., et al. (2018). Anchoring Fe 3 O 4 nanoparticles on carbon nanotubes for microwave-induced catalytic degradation of antibiotics. </w:t>
          </w:r>
          <w:r>
            <w:rPr>
              <w:i/>
              <w:iCs/>
              <w:noProof/>
            </w:rPr>
            <w:t>ACS Applied Materials and Interfaces 10</w:t>
          </w:r>
          <w:r>
            <w:rPr>
              <w:noProof/>
            </w:rPr>
            <w:t>, 29467-29475.</w:t>
          </w:r>
        </w:p>
        <w:p w:rsidR="005502DE" w:rsidRDefault="005502DE" w:rsidP="005502DE">
          <w:pPr>
            <w:pStyle w:val="Bibliography"/>
            <w:ind w:left="720" w:hanging="720"/>
            <w:rPr>
              <w:noProof/>
              <w:lang w:val="en-US"/>
            </w:rPr>
          </w:pPr>
          <w:r>
            <w:rPr>
              <w:noProof/>
            </w:rPr>
            <w:t xml:space="preserve">Lloyd, W., &amp; Palmer, B. (2010). </w:t>
          </w:r>
          <w:r>
            <w:rPr>
              <w:i/>
              <w:iCs/>
              <w:noProof/>
            </w:rPr>
            <w:t>Antibiotic Prescribing Policy.</w:t>
          </w:r>
          <w:r>
            <w:rPr>
              <w:noProof/>
            </w:rPr>
            <w:t xml:space="preserve"> Bath: Royal United Hospital Bath (RUH).</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Macaluso, C. R., &amp; McNamara, R. M. (2012). Evaluation and management of acute abdominal pain in the emergency department. </w:t>
          </w:r>
          <w:r w:rsidRPr="00FE5D0F">
            <w:rPr>
              <w:rFonts w:cs="Times New Roman"/>
              <w:i/>
              <w:iCs/>
              <w:noProof/>
              <w:szCs w:val="24"/>
            </w:rPr>
            <w:t>International Journal of General Medicine</w:t>
          </w:r>
          <w:r w:rsidRPr="00FE5D0F">
            <w:rPr>
              <w:rFonts w:cs="Times New Roman"/>
              <w:noProof/>
              <w:szCs w:val="24"/>
            </w:rPr>
            <w:t xml:space="preserve">, </w:t>
          </w:r>
          <w:r w:rsidRPr="00FE5D0F">
            <w:rPr>
              <w:rFonts w:cs="Times New Roman"/>
              <w:i/>
              <w:iCs/>
              <w:noProof/>
              <w:szCs w:val="24"/>
            </w:rPr>
            <w:t>5</w:t>
          </w:r>
          <w:r w:rsidRPr="00FE5D0F">
            <w:rPr>
              <w:rFonts w:cs="Times New Roman"/>
              <w:noProof/>
              <w:szCs w:val="24"/>
            </w:rPr>
            <w:t>, 789–797. http</w:t>
          </w:r>
          <w:r>
            <w:rPr>
              <w:rFonts w:cs="Times New Roman"/>
              <w:noProof/>
              <w:szCs w:val="24"/>
            </w:rPr>
            <w:t>s://doi.org/10.2147/IJGM.S25936</w:t>
          </w:r>
        </w:p>
        <w:p w:rsidR="005502DE" w:rsidRDefault="005502DE" w:rsidP="005502DE">
          <w:pPr>
            <w:pStyle w:val="Bibliography"/>
            <w:ind w:left="720" w:hanging="720"/>
            <w:rPr>
              <w:noProof/>
              <w:lang w:val="en-US"/>
            </w:rPr>
          </w:pPr>
          <w:r>
            <w:rPr>
              <w:noProof/>
            </w:rPr>
            <w:t xml:space="preserve">Mally, G. S., Muhtadi, A., &amp; Saidah, S. (2015). Rasionalitas Penggunaan Antibiotik di Salah Satu Rumah Sakit Umum di Bandung Tahun 2010”. </w:t>
          </w:r>
          <w:r>
            <w:rPr>
              <w:i/>
              <w:iCs/>
              <w:noProof/>
            </w:rPr>
            <w:t>Jurnal Farmasi Klinik Indonesia 4</w:t>
          </w:r>
          <w:r>
            <w:rPr>
              <w:noProof/>
            </w:rPr>
            <w:t>, 63-70.</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lastRenderedPageBreak/>
            <w:t xml:space="preserve">May, L., Cosgrove, S., L’Archeveque, M., Talan, D. A., Payne, P., Jordan, J., &amp; Rothman, R. E. (2013). A call to action for antimicrobial stewardship in the emergency department: Approaches and strategies. </w:t>
          </w:r>
          <w:r w:rsidRPr="00FE5D0F">
            <w:rPr>
              <w:rFonts w:cs="Times New Roman"/>
              <w:i/>
              <w:iCs/>
              <w:noProof/>
              <w:szCs w:val="24"/>
            </w:rPr>
            <w:t>Annals of Emergency Medicine</w:t>
          </w:r>
          <w:r w:rsidRPr="00FE5D0F">
            <w:rPr>
              <w:rFonts w:cs="Times New Roman"/>
              <w:noProof/>
              <w:szCs w:val="24"/>
            </w:rPr>
            <w:t xml:space="preserve">, </w:t>
          </w:r>
          <w:r w:rsidRPr="00FE5D0F">
            <w:rPr>
              <w:rFonts w:cs="Times New Roman"/>
              <w:i/>
              <w:iCs/>
              <w:noProof/>
              <w:szCs w:val="24"/>
            </w:rPr>
            <w:t>62</w:t>
          </w:r>
          <w:r w:rsidRPr="00FE5D0F">
            <w:rPr>
              <w:rFonts w:cs="Times New Roman"/>
              <w:noProof/>
              <w:szCs w:val="24"/>
            </w:rPr>
            <w:t>(1), 69-77.e2. https://doi.org/10</w:t>
          </w:r>
          <w:r>
            <w:rPr>
              <w:rFonts w:cs="Times New Roman"/>
              <w:noProof/>
              <w:szCs w:val="24"/>
            </w:rPr>
            <w:t>.1016/j.annemergmed.2012.09.002</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Metlay, J. P., Waterer, G. W., Long, A. C., Anzueto, A., Brozek, J., Crothers, K., Cooley, L. A., Dean, N. C., Fine, M. J., Flanders, S. A., Grif, M. R., Metersky, M. L., &amp; Musher, D. M. (2019). </w:t>
          </w:r>
          <w:r w:rsidRPr="00FE5D0F">
            <w:rPr>
              <w:rFonts w:cs="Times New Roman"/>
              <w:i/>
              <w:iCs/>
              <w:noProof/>
              <w:szCs w:val="24"/>
            </w:rPr>
            <w:t>AMERICAN THORACIC SOCIETY Diagnosis and Treatment of Adults with Community-acquired Pneumonia An Of fi cial Clinical Practice Guideline of the American Thoracic Society and Infectious Diseases Society of America</w:t>
          </w:r>
          <w:r w:rsidRPr="00FE5D0F">
            <w:rPr>
              <w:rFonts w:cs="Times New Roman"/>
              <w:noProof/>
              <w:szCs w:val="24"/>
            </w:rPr>
            <w:t xml:space="preserve">. </w:t>
          </w:r>
          <w:r w:rsidRPr="00FE5D0F">
            <w:rPr>
              <w:rFonts w:cs="Times New Roman"/>
              <w:i/>
              <w:iCs/>
              <w:noProof/>
              <w:szCs w:val="24"/>
            </w:rPr>
            <w:t>200</w:t>
          </w:r>
          <w:r w:rsidRPr="00FE5D0F">
            <w:rPr>
              <w:rFonts w:cs="Times New Roman"/>
              <w:noProof/>
              <w:szCs w:val="24"/>
            </w:rPr>
            <w:t>. https://doi</w:t>
          </w:r>
          <w:r>
            <w:rPr>
              <w:rFonts w:cs="Times New Roman"/>
              <w:noProof/>
              <w:szCs w:val="24"/>
            </w:rPr>
            <w:t>.org/10.1164/rccm.201908-1581ST</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Mohammed, S., Sharma, S. K., Kaucha, K., &amp; Hiremath, D. (2016). Formulation and evaluation of flurbiprofen fast disintegrating tablets using natural superdisintegrants. </w:t>
          </w:r>
          <w:r w:rsidRPr="00FE5D0F">
            <w:rPr>
              <w:rFonts w:cs="Times New Roman"/>
              <w:i/>
              <w:iCs/>
              <w:noProof/>
              <w:szCs w:val="24"/>
            </w:rPr>
            <w:t>Asian Journal of Pharmaceutical and Clinical Research</w:t>
          </w:r>
          <w:r w:rsidRPr="00FE5D0F">
            <w:rPr>
              <w:rFonts w:cs="Times New Roman"/>
              <w:noProof/>
              <w:szCs w:val="24"/>
            </w:rPr>
            <w:t xml:space="preserve">, </w:t>
          </w:r>
          <w:r w:rsidRPr="00FE5D0F">
            <w:rPr>
              <w:rFonts w:cs="Times New Roman"/>
              <w:i/>
              <w:iCs/>
              <w:noProof/>
              <w:szCs w:val="24"/>
            </w:rPr>
            <w:t>9</w:t>
          </w:r>
          <w:r w:rsidRPr="00FE5D0F">
            <w:rPr>
              <w:rFonts w:cs="Times New Roman"/>
              <w:noProof/>
              <w:szCs w:val="24"/>
            </w:rPr>
            <w:t>(6), 247–254. https://doi.org</w:t>
          </w:r>
          <w:r>
            <w:rPr>
              <w:rFonts w:cs="Times New Roman"/>
              <w:noProof/>
              <w:szCs w:val="24"/>
            </w:rPr>
            <w:t>/10.22159/ajpcr.2016.v9i6.14303</w:t>
          </w:r>
        </w:p>
        <w:p w:rsidR="005502DE" w:rsidRPr="00FE5D0F"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Pratiwi, A. A., Sinuraya, R. K., Farmasi, F., &amp; Padjadjaran, U. (2014). </w:t>
          </w:r>
          <w:r w:rsidRPr="00FE5D0F">
            <w:rPr>
              <w:rFonts w:cs="Times New Roman"/>
              <w:i/>
              <w:iCs/>
              <w:noProof/>
              <w:szCs w:val="24"/>
            </w:rPr>
            <w:t>Analisis Peresepan Obat Anak Usia 2 – 5 Tahun di Kota Bandung Tahun 2012 Prescribing Analysis for 2 – 5 Years Old Children in Bandung During Year 2012</w:t>
          </w:r>
          <w:r w:rsidRPr="00FE5D0F">
            <w:rPr>
              <w:rFonts w:cs="Times New Roman"/>
              <w:noProof/>
              <w:szCs w:val="24"/>
            </w:rPr>
            <w:t xml:space="preserve">. </w:t>
          </w:r>
          <w:r w:rsidRPr="00FE5D0F">
            <w:rPr>
              <w:rFonts w:cs="Times New Roman"/>
              <w:i/>
              <w:iCs/>
              <w:noProof/>
              <w:szCs w:val="24"/>
            </w:rPr>
            <w:t>3</w:t>
          </w:r>
          <w:r w:rsidRPr="00FE5D0F">
            <w:rPr>
              <w:rFonts w:cs="Times New Roman"/>
              <w:noProof/>
              <w:szCs w:val="24"/>
            </w:rPr>
            <w:t>(1), 18–23. https://doi.org/10.15416/ijcp.2014.3.1.18</w:t>
          </w:r>
        </w:p>
        <w:p w:rsidR="005502DE" w:rsidRDefault="005502DE" w:rsidP="005502DE">
          <w:pPr>
            <w:pStyle w:val="Bibliography"/>
            <w:ind w:left="720" w:hanging="720"/>
            <w:rPr>
              <w:noProof/>
            </w:rPr>
          </w:pPr>
          <w:r>
            <w:rPr>
              <w:noProof/>
            </w:rPr>
            <w:lastRenderedPageBreak/>
            <w:t xml:space="preserve">Perhimpunan Dokter Paru Indonesia (PDPI). (2020). </w:t>
          </w:r>
          <w:r>
            <w:rPr>
              <w:i/>
              <w:iCs/>
              <w:noProof/>
            </w:rPr>
            <w:t>Outbreak Pnemonia di Tiongkok.</w:t>
          </w:r>
          <w:r>
            <w:rPr>
              <w:noProof/>
            </w:rPr>
            <w:t xml:space="preserve"> jakarta: Perhimpunan Dokter Paru Indonesia (PDPI).</w:t>
          </w:r>
        </w:p>
        <w:p w:rsidR="005502DE" w:rsidRDefault="005502DE" w:rsidP="005502DE">
          <w:pPr>
            <w:pStyle w:val="Bibliography"/>
            <w:ind w:left="720" w:hanging="720"/>
            <w:rPr>
              <w:noProof/>
              <w:lang w:val="en-US"/>
            </w:rPr>
          </w:pPr>
          <w:r>
            <w:rPr>
              <w:noProof/>
            </w:rPr>
            <w:t xml:space="preserve">Restika, M. N., Heedy, M. T., &amp; Gayatri, C. (2016). Profil Persepan Antibiotik Pasien gawat Darurat di RSUP PROF. DR. R. D. Kandou Periode Janurai-April 2016. </w:t>
          </w:r>
          <w:r>
            <w:rPr>
              <w:i/>
              <w:iCs/>
              <w:noProof/>
            </w:rPr>
            <w:t>Jurnal Ilmiah Farmasi</w:t>
          </w:r>
          <w:r>
            <w:rPr>
              <w:noProof/>
            </w:rPr>
            <w:t>, 192-202.</w:t>
          </w:r>
        </w:p>
        <w:p w:rsidR="005502DE" w:rsidRDefault="005502DE" w:rsidP="005502DE">
          <w:pPr>
            <w:widowControl w:val="0"/>
            <w:autoSpaceDE w:val="0"/>
            <w:autoSpaceDN w:val="0"/>
            <w:adjustRightInd w:val="0"/>
            <w:spacing w:after="240" w:line="240" w:lineRule="auto"/>
            <w:ind w:left="709" w:hanging="709"/>
            <w:rPr>
              <w:rFonts w:cs="Times New Roman"/>
              <w:noProof/>
              <w:szCs w:val="24"/>
              <w:lang w:val="en-US"/>
            </w:rPr>
          </w:pPr>
          <w:r w:rsidRPr="00FE5D0F">
            <w:rPr>
              <w:rFonts w:cs="Times New Roman"/>
              <w:noProof/>
              <w:szCs w:val="24"/>
            </w:rPr>
            <w:t xml:space="preserve">Sabtu, N., Enoch, D. A., &amp; Brown, N. M. (2015). Antibiotic resistance: What, why, where, when and how? </w:t>
          </w:r>
          <w:r w:rsidRPr="00FE5D0F">
            <w:rPr>
              <w:rFonts w:cs="Times New Roman"/>
              <w:i/>
              <w:iCs/>
              <w:noProof/>
              <w:szCs w:val="24"/>
            </w:rPr>
            <w:t>British Medical Bulletin</w:t>
          </w:r>
          <w:r w:rsidRPr="00FE5D0F">
            <w:rPr>
              <w:rFonts w:cs="Times New Roman"/>
              <w:noProof/>
              <w:szCs w:val="24"/>
            </w:rPr>
            <w:t xml:space="preserve">, </w:t>
          </w:r>
          <w:r w:rsidRPr="00FE5D0F">
            <w:rPr>
              <w:rFonts w:cs="Times New Roman"/>
              <w:i/>
              <w:iCs/>
              <w:noProof/>
              <w:szCs w:val="24"/>
            </w:rPr>
            <w:t>116</w:t>
          </w:r>
          <w:r w:rsidRPr="00FE5D0F">
            <w:rPr>
              <w:rFonts w:cs="Times New Roman"/>
              <w:noProof/>
              <w:szCs w:val="24"/>
            </w:rPr>
            <w:t>(1), 105–113. https://doi.org/10.1093/bmb/ldv041</w:t>
          </w:r>
        </w:p>
        <w:p w:rsidR="005502DE" w:rsidRDefault="005502DE" w:rsidP="005502DE">
          <w:pPr>
            <w:widowControl w:val="0"/>
            <w:autoSpaceDE w:val="0"/>
            <w:autoSpaceDN w:val="0"/>
            <w:adjustRightInd w:val="0"/>
            <w:spacing w:after="240" w:line="240" w:lineRule="auto"/>
            <w:ind w:left="480" w:hanging="480"/>
            <w:rPr>
              <w:rFonts w:cs="Times New Roman"/>
              <w:noProof/>
              <w:szCs w:val="24"/>
              <w:lang w:val="en-US"/>
            </w:rPr>
          </w:pPr>
          <w:r w:rsidRPr="00857587">
            <w:rPr>
              <w:rFonts w:cs="Times New Roman"/>
              <w:noProof/>
              <w:szCs w:val="24"/>
            </w:rPr>
            <w:t xml:space="preserve">Shahbaz, K. (2017). Cephalosporins: pharmacology and chemistry. </w:t>
          </w:r>
          <w:r w:rsidRPr="00857587">
            <w:rPr>
              <w:rFonts w:cs="Times New Roman"/>
              <w:i/>
              <w:iCs/>
              <w:noProof/>
              <w:szCs w:val="24"/>
            </w:rPr>
            <w:t>Pharmaceutical and Biological Evaluations</w:t>
          </w:r>
          <w:r w:rsidRPr="00857587">
            <w:rPr>
              <w:rFonts w:cs="Times New Roman"/>
              <w:noProof/>
              <w:szCs w:val="24"/>
            </w:rPr>
            <w:t xml:space="preserve">, </w:t>
          </w:r>
          <w:r w:rsidRPr="00857587">
            <w:rPr>
              <w:rFonts w:cs="Times New Roman"/>
              <w:i/>
              <w:iCs/>
              <w:noProof/>
              <w:szCs w:val="24"/>
            </w:rPr>
            <w:t>4</w:t>
          </w:r>
          <w:r w:rsidRPr="00857587">
            <w:rPr>
              <w:rFonts w:cs="Times New Roman"/>
              <w:noProof/>
              <w:szCs w:val="24"/>
            </w:rPr>
            <w:t>(6), 234. https://doi.org/10.26510/2394-0859.pbe.2017.36</w:t>
          </w:r>
        </w:p>
        <w:p w:rsidR="005502DE" w:rsidRDefault="005502DE" w:rsidP="005502DE">
          <w:pPr>
            <w:widowControl w:val="0"/>
            <w:autoSpaceDE w:val="0"/>
            <w:autoSpaceDN w:val="0"/>
            <w:adjustRightInd w:val="0"/>
            <w:spacing w:after="240" w:line="240" w:lineRule="auto"/>
            <w:ind w:left="709" w:hanging="709"/>
            <w:rPr>
              <w:noProof/>
            </w:rPr>
          </w:pPr>
          <w:r>
            <w:rPr>
              <w:noProof/>
            </w:rPr>
            <w:t xml:space="preserve">Sevila, C. G. (2007). </w:t>
          </w:r>
          <w:r>
            <w:rPr>
              <w:i/>
              <w:iCs/>
              <w:noProof/>
            </w:rPr>
            <w:t>Research Method.</w:t>
          </w:r>
          <w:r>
            <w:rPr>
              <w:noProof/>
            </w:rPr>
            <w:t xml:space="preserve"> Quezon City: Rex Printing Company.</w:t>
          </w:r>
        </w:p>
        <w:p w:rsidR="005502DE" w:rsidRDefault="005502DE" w:rsidP="005502DE">
          <w:pPr>
            <w:pStyle w:val="Bibliography"/>
            <w:ind w:left="720" w:hanging="720"/>
            <w:rPr>
              <w:noProof/>
            </w:rPr>
          </w:pPr>
          <w:r>
            <w:rPr>
              <w:noProof/>
            </w:rPr>
            <w:t xml:space="preserve">World Health organization. (1998). </w:t>
          </w:r>
          <w:r>
            <w:rPr>
              <w:i/>
              <w:iCs/>
              <w:noProof/>
            </w:rPr>
            <w:t>Programme On Mental Health.</w:t>
          </w:r>
          <w:r>
            <w:rPr>
              <w:noProof/>
            </w:rPr>
            <w:t xml:space="preserve"> Devision Of Mental Health And Prevention Of Subtance Abuse.</w:t>
          </w:r>
        </w:p>
        <w:p w:rsidR="005502DE" w:rsidRDefault="005502DE" w:rsidP="005502DE">
          <w:pPr>
            <w:pStyle w:val="Bibliography"/>
            <w:ind w:left="720" w:hanging="720"/>
            <w:rPr>
              <w:noProof/>
            </w:rPr>
          </w:pPr>
          <w:r>
            <w:rPr>
              <w:noProof/>
            </w:rPr>
            <w:t xml:space="preserve">Yadav, V., &amp; Talwar, P. (2019). Biomedicine &amp; pharmacotherapy repositioning of fluoroquinolones from antibiotic to anti-cancer agents. </w:t>
          </w:r>
          <w:r>
            <w:rPr>
              <w:i/>
              <w:iCs/>
              <w:noProof/>
            </w:rPr>
            <w:t>Biomedicine and Pharmacotherapy</w:t>
          </w:r>
          <w:r>
            <w:rPr>
              <w:noProof/>
            </w:rPr>
            <w:t>, 934-946.</w:t>
          </w:r>
        </w:p>
        <w:p w:rsidR="005502DE" w:rsidRPr="005502DE" w:rsidRDefault="005502DE" w:rsidP="005502DE">
          <w:pPr>
            <w:widowControl w:val="0"/>
            <w:autoSpaceDE w:val="0"/>
            <w:autoSpaceDN w:val="0"/>
            <w:adjustRightInd w:val="0"/>
            <w:spacing w:after="240" w:line="240" w:lineRule="auto"/>
            <w:ind w:left="480" w:hanging="480"/>
            <w:rPr>
              <w:rFonts w:cs="Times New Roman"/>
              <w:noProof/>
              <w:lang w:val="en-US"/>
            </w:rPr>
          </w:pPr>
        </w:p>
        <w:p w:rsidR="005502DE" w:rsidRPr="00857587" w:rsidRDefault="005502DE" w:rsidP="005502DE">
          <w:pPr>
            <w:widowControl w:val="0"/>
            <w:autoSpaceDE w:val="0"/>
            <w:autoSpaceDN w:val="0"/>
            <w:adjustRightInd w:val="0"/>
            <w:spacing w:after="240" w:line="240" w:lineRule="auto"/>
            <w:rPr>
              <w:rFonts w:cs="Times New Roman"/>
              <w:noProof/>
              <w:szCs w:val="24"/>
            </w:rPr>
          </w:pPr>
          <w:r>
            <w:rPr>
              <w:b/>
              <w:bCs/>
              <w:noProof/>
            </w:rPr>
            <w:fldChar w:fldCharType="begin" w:fldLock="1"/>
          </w:r>
          <w:r>
            <w:rPr>
              <w:b/>
              <w:bCs/>
              <w:noProof/>
            </w:rPr>
            <w:instrText xml:space="preserve">ADDIN Mendeley Bibliography CSL_BIBLIOGRAPHY </w:instrText>
          </w:r>
          <w:r>
            <w:rPr>
              <w:b/>
              <w:bCs/>
              <w:noProof/>
            </w:rPr>
            <w:fldChar w:fldCharType="separate"/>
          </w:r>
        </w:p>
        <w:p w:rsidR="005502DE" w:rsidRDefault="005502DE" w:rsidP="005502DE">
          <w:pPr>
            <w:widowControl w:val="0"/>
            <w:autoSpaceDE w:val="0"/>
            <w:autoSpaceDN w:val="0"/>
            <w:adjustRightInd w:val="0"/>
            <w:spacing w:after="240" w:line="240" w:lineRule="auto"/>
          </w:pPr>
          <w:r>
            <w:rPr>
              <w:b/>
              <w:bCs/>
              <w:noProof/>
            </w:rPr>
            <w:lastRenderedPageBreak/>
            <w:fldChar w:fldCharType="end"/>
          </w:r>
          <w:r>
            <w:rPr>
              <w:b/>
              <w:bCs/>
              <w:noProof/>
            </w:rPr>
            <w:fldChar w:fldCharType="end"/>
          </w:r>
        </w:p>
      </w:sdtContent>
    </w:sdt>
    <w:p w:rsidR="005502DE" w:rsidRPr="005502DE" w:rsidRDefault="005502DE" w:rsidP="005502DE">
      <w:pPr>
        <w:spacing w:before="6" w:after="0" w:line="360" w:lineRule="auto"/>
        <w:ind w:right="4"/>
        <w:rPr>
          <w:rFonts w:eastAsia="Times New Roman" w:cs="Times New Roman"/>
          <w:b/>
          <w:szCs w:val="24"/>
          <w:lang w:val="en-US"/>
        </w:rPr>
      </w:pPr>
    </w:p>
    <w:sectPr w:rsidR="005502DE" w:rsidRPr="005502DE" w:rsidSect="001E5501">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353C"/>
    <w:multiLevelType w:val="hybridMultilevel"/>
    <w:tmpl w:val="CCD239DA"/>
    <w:lvl w:ilvl="0" w:tplc="04090011">
      <w:start w:val="1"/>
      <w:numFmt w:val="decimal"/>
      <w:lvlText w:val="%1)"/>
      <w:lvlJc w:val="left"/>
      <w:pPr>
        <w:ind w:left="1494" w:hanging="360"/>
      </w:pPr>
    </w:lvl>
    <w:lvl w:ilvl="1" w:tplc="04090017">
      <w:start w:val="1"/>
      <w:numFmt w:val="lowerLetter"/>
      <w:lvlText w:val="%2)"/>
      <w:lvlJc w:val="left"/>
      <w:pPr>
        <w:ind w:left="2214" w:hanging="360"/>
      </w:pPr>
    </w:lvl>
    <w:lvl w:ilvl="2" w:tplc="C8D4F5A6">
      <w:start w:val="1"/>
      <w:numFmt w:val="upperLetter"/>
      <w:lvlText w:val="%3."/>
      <w:lvlJc w:val="left"/>
      <w:pPr>
        <w:ind w:left="3114" w:hanging="360"/>
      </w:pPr>
      <w:rPr>
        <w:rFonts w:hint="default"/>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C637359"/>
    <w:multiLevelType w:val="hybridMultilevel"/>
    <w:tmpl w:val="5DCCD4F2"/>
    <w:lvl w:ilvl="0" w:tplc="AAD8D1A0">
      <w:start w:val="1"/>
      <w:numFmt w:val="decimal"/>
      <w:lvlText w:val="%1."/>
      <w:lvlJc w:val="left"/>
      <w:pPr>
        <w:ind w:left="366" w:hanging="360"/>
      </w:pPr>
      <w:rPr>
        <w:rFonts w:hint="default"/>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nsid w:val="5E7B7193"/>
    <w:multiLevelType w:val="hybridMultilevel"/>
    <w:tmpl w:val="AA54D2E6"/>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6ADA76C5"/>
    <w:multiLevelType w:val="hybridMultilevel"/>
    <w:tmpl w:val="5C522186"/>
    <w:lvl w:ilvl="0" w:tplc="C33C4F3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2E"/>
    <w:rsid w:val="0000061F"/>
    <w:rsid w:val="000C25A8"/>
    <w:rsid w:val="0014152E"/>
    <w:rsid w:val="001E5501"/>
    <w:rsid w:val="0027700E"/>
    <w:rsid w:val="005502DE"/>
    <w:rsid w:val="005940E6"/>
    <w:rsid w:val="00785CC3"/>
    <w:rsid w:val="007908B0"/>
    <w:rsid w:val="007B5271"/>
    <w:rsid w:val="008A4F02"/>
    <w:rsid w:val="008E537F"/>
    <w:rsid w:val="00A66D72"/>
    <w:rsid w:val="00AB2E19"/>
    <w:rsid w:val="00B0474D"/>
    <w:rsid w:val="00B26B59"/>
    <w:rsid w:val="00B42F52"/>
    <w:rsid w:val="00B87050"/>
    <w:rsid w:val="00BC5DDB"/>
    <w:rsid w:val="00D54B4B"/>
    <w:rsid w:val="00F9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E"/>
    <w:pPr>
      <w:jc w:val="both"/>
    </w:pPr>
    <w:rPr>
      <w:rFonts w:ascii="Times New Roman" w:hAnsi="Times New Roman"/>
      <w:sz w:val="24"/>
      <w:lang w:val="id-ID"/>
    </w:rPr>
  </w:style>
  <w:style w:type="paragraph" w:styleId="Heading3">
    <w:name w:val="heading 3"/>
    <w:basedOn w:val="Normal"/>
    <w:next w:val="Normal"/>
    <w:link w:val="Heading3Char"/>
    <w:uiPriority w:val="9"/>
    <w:unhideWhenUsed/>
    <w:qFormat/>
    <w:rsid w:val="00B0474D"/>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01"/>
    <w:rPr>
      <w:rFonts w:ascii="Tahoma" w:hAnsi="Tahoma" w:cs="Tahoma"/>
      <w:sz w:val="16"/>
      <w:szCs w:val="16"/>
      <w:lang w:val="id-ID"/>
    </w:rPr>
  </w:style>
  <w:style w:type="character" w:styleId="FootnoteReference">
    <w:name w:val="footnote reference"/>
    <w:basedOn w:val="DefaultParagraphFont"/>
    <w:uiPriority w:val="99"/>
    <w:semiHidden/>
    <w:unhideWhenUsed/>
    <w:rsid w:val="00F97776"/>
    <w:rPr>
      <w:vertAlign w:val="superscript"/>
    </w:rPr>
  </w:style>
  <w:style w:type="paragraph" w:styleId="ListParagraph">
    <w:name w:val="List Paragraph"/>
    <w:basedOn w:val="Normal"/>
    <w:uiPriority w:val="34"/>
    <w:qFormat/>
    <w:rsid w:val="008E537F"/>
    <w:pPr>
      <w:ind w:left="720"/>
      <w:contextualSpacing/>
    </w:pPr>
  </w:style>
  <w:style w:type="character" w:customStyle="1" w:styleId="Heading3Char">
    <w:name w:val="Heading 3 Char"/>
    <w:basedOn w:val="DefaultParagraphFont"/>
    <w:link w:val="Heading3"/>
    <w:uiPriority w:val="9"/>
    <w:rsid w:val="00B0474D"/>
    <w:rPr>
      <w:rFonts w:ascii="Times New Roman" w:eastAsiaTheme="majorEastAsia" w:hAnsi="Times New Roman" w:cstheme="majorBidi"/>
      <w:bCs/>
      <w:sz w:val="24"/>
      <w:lang w:val="id-ID"/>
    </w:rPr>
  </w:style>
  <w:style w:type="table" w:styleId="TableGrid">
    <w:name w:val="Table Grid"/>
    <w:basedOn w:val="TableNormal"/>
    <w:uiPriority w:val="59"/>
    <w:rsid w:val="00AB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54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E"/>
    <w:pPr>
      <w:jc w:val="both"/>
    </w:pPr>
    <w:rPr>
      <w:rFonts w:ascii="Times New Roman" w:hAnsi="Times New Roman"/>
      <w:sz w:val="24"/>
      <w:lang w:val="id-ID"/>
    </w:rPr>
  </w:style>
  <w:style w:type="paragraph" w:styleId="Heading3">
    <w:name w:val="heading 3"/>
    <w:basedOn w:val="Normal"/>
    <w:next w:val="Normal"/>
    <w:link w:val="Heading3Char"/>
    <w:uiPriority w:val="9"/>
    <w:unhideWhenUsed/>
    <w:qFormat/>
    <w:rsid w:val="00B0474D"/>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01"/>
    <w:rPr>
      <w:rFonts w:ascii="Tahoma" w:hAnsi="Tahoma" w:cs="Tahoma"/>
      <w:sz w:val="16"/>
      <w:szCs w:val="16"/>
      <w:lang w:val="id-ID"/>
    </w:rPr>
  </w:style>
  <w:style w:type="character" w:styleId="FootnoteReference">
    <w:name w:val="footnote reference"/>
    <w:basedOn w:val="DefaultParagraphFont"/>
    <w:uiPriority w:val="99"/>
    <w:semiHidden/>
    <w:unhideWhenUsed/>
    <w:rsid w:val="00F97776"/>
    <w:rPr>
      <w:vertAlign w:val="superscript"/>
    </w:rPr>
  </w:style>
  <w:style w:type="paragraph" w:styleId="ListParagraph">
    <w:name w:val="List Paragraph"/>
    <w:basedOn w:val="Normal"/>
    <w:uiPriority w:val="34"/>
    <w:qFormat/>
    <w:rsid w:val="008E537F"/>
    <w:pPr>
      <w:ind w:left="720"/>
      <w:contextualSpacing/>
    </w:pPr>
  </w:style>
  <w:style w:type="character" w:customStyle="1" w:styleId="Heading3Char">
    <w:name w:val="Heading 3 Char"/>
    <w:basedOn w:val="DefaultParagraphFont"/>
    <w:link w:val="Heading3"/>
    <w:uiPriority w:val="9"/>
    <w:rsid w:val="00B0474D"/>
    <w:rPr>
      <w:rFonts w:ascii="Times New Roman" w:eastAsiaTheme="majorEastAsia" w:hAnsi="Times New Roman" w:cstheme="majorBidi"/>
      <w:bCs/>
      <w:sz w:val="24"/>
      <w:lang w:val="id-ID"/>
    </w:rPr>
  </w:style>
  <w:style w:type="table" w:styleId="TableGrid">
    <w:name w:val="Table Grid"/>
    <w:basedOn w:val="TableNormal"/>
    <w:uiPriority w:val="59"/>
    <w:rsid w:val="00AB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5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Mal15</b:Tag>
    <b:SourceType>JournalArticle</b:SourceType>
    <b:Guid>{B9A23C2B-1BF1-4C82-8E9B-C67B5EE804A2}</b:Guid>
    <b:Author>
      <b:Author>
        <b:NameList>
          <b:Person>
            <b:Last>Mally</b:Last>
            <b:First>G.</b:First>
            <b:Middle>Sholih</b:Middle>
          </b:Person>
          <b:Person>
            <b:Last>Muhtadi</b:Last>
            <b:First>Ahmad</b:First>
          </b:Person>
          <b:Person>
            <b:Last>Saidah</b:Last>
            <b:First>Sity</b:First>
          </b:Person>
        </b:NameList>
      </b:Author>
    </b:Author>
    <b:Title>Rasionalitas Penggunaan Antibiotik di Salah Satu Rumah Sakit Umum di Bandung Tahun 2010”</b:Title>
    <b:Year>2015</b:Year>
    <b:City>Bandung</b:City>
    <b:Publisher>Jurnal Farmasi Klinik Indonesia 4</b:Publisher>
    <b:JournalName>Jurnal Farmasi Klinik Indonesia 4</b:JournalName>
    <b:Pages>63-70</b:Pages>
    <b:RefOrder>1</b:RefOrder>
  </b:Source>
  <b:Source>
    <b:Tag>Dir21</b:Tag>
    <b:SourceType>JournalArticle</b:SourceType>
    <b:Guid>{8F1DD3C4-5756-4161-8BE1-54C998AAD419}</b:Guid>
    <b:Author>
      <b:Author>
        <b:NameList>
          <b:Person>
            <b:Last>Dirga</b:Last>
          </b:Person>
          <b:Person>
            <b:Last>Khairunnisa</b:Last>
            <b:First>Sudewi</b:First>
            <b:Middle>Mukaromah</b:Middle>
          </b:Person>
          <b:Person>
            <b:Last>Akhmad</b:Last>
            <b:First>Atika</b:First>
            <b:Middle>Dalili</b:Middle>
          </b:Person>
        </b:NameList>
      </b:Author>
    </b:Author>
    <b:Title>Evaluasi Penggunaan Antibiotik pada Pasien Rawat Inap di Bangsal Penyakit Dalam RSUD. Dr. H. Abdul Moeloek Provinsi Lampung</b:Title>
    <b:JournalName>Jurnal Kefarmasian Indonesia</b:JournalName>
    <b:Year>2021</b:Year>
    <b:Pages>65-75</b:Pages>
    <b:RefOrder>14</b:RefOrder>
  </b:Source>
  <b:Source>
    <b:Tag>Res16</b:Tag>
    <b:SourceType>JournalArticle</b:SourceType>
    <b:Guid>{5F799EF0-CBC6-443B-BDA1-10CAA757D540}</b:Guid>
    <b:Author>
      <b:Author>
        <b:NameList>
          <b:Person>
            <b:Last>Restika</b:Last>
            <b:First>Monidora</b:First>
            <b:Middle>Nora</b:Middle>
          </b:Person>
          <b:Person>
            <b:Last>Heedy</b:Last>
            <b:First>M.</b:First>
            <b:Middle>Tjitrosantoso</b:Middle>
          </b:Person>
          <b:Person>
            <b:Last>Gayatri</b:Last>
            <b:First>Citraningtyas</b:First>
          </b:Person>
        </b:NameList>
      </b:Author>
    </b:Author>
    <b:Title>Profil Persepan Antibiotik Pasien gawat Darurat di RSUP PROF. DR. R. D. Kandou Periode Janurai-April 2016</b:Title>
    <b:JournalName>Jurnal Ilmiah Farmasi</b:JournalName>
    <b:Year>2016</b:Year>
    <b:Pages>192-202</b:Pages>
    <b:RefOrder>3</b:RefOrder>
  </b:Source>
  <b:Source>
    <b:Tag>VYa19</b:Tag>
    <b:SourceType>JournalArticle</b:SourceType>
    <b:Guid>{02A3AAF0-7B05-4487-8E37-D2825EC4AF26}</b:Guid>
    <b:Author>
      <b:Author>
        <b:NameList>
          <b:Person>
            <b:Last>Yadav</b:Last>
            <b:First>V.</b:First>
          </b:Person>
          <b:Person>
            <b:Last>Talwar</b:Last>
            <b:First>P.</b:First>
          </b:Person>
        </b:NameList>
      </b:Author>
    </b:Author>
    <b:Title>Biomedicine &amp; pharmacotherapy repositioning of fluoroquinolones from antibiotic to anti-cancer agents</b:Title>
    <b:JournalName>Biomedicine and Pharmacotherapy</b:JournalName>
    <b:Year>2019</b:Year>
    <b:Pages>934-946</b:Pages>
    <b:RefOrder>5</b:RefOrder>
  </b:Source>
  <b:Source>
    <b:Tag>Coe07</b:Tag>
    <b:SourceType>JournalArticle</b:SourceType>
    <b:Guid>{8F6DDE75-63CB-4CAF-B2F6-D7EE2BB98A02}</b:Guid>
    <b:Author>
      <b:Author>
        <b:NameList>
          <b:Person>
            <b:Last>Coenan</b:Last>
            <b:First>S</b:First>
          </b:Person>
          <b:Person>
            <b:Last>Ferech</b:Last>
            <b:First>M</b:First>
          </b:Person>
          <b:Person>
            <b:Last>FHM</b:Last>
            <b:First>Ruskamp</b:First>
          </b:Person>
          <b:Person>
            <b:Last>Butler</b:Last>
            <b:First>C</b:First>
          </b:Person>
          <b:Person>
            <b:Last>Sticele</b:Last>
            <b:First>R</b:First>
          </b:Person>
          <b:Person>
            <b:Last>Goosens</b:Last>
            <b:First>S</b:First>
          </b:Person>
        </b:NameList>
      </b:Author>
    </b:Author>
    <b:Title>European surveillance of antimicrobial consumption (ESAC): quality indicator for outpatient antibiotik use in Europe</b:Title>
    <b:JournalName>Qual Saf Health Care BMJ</b:JournalName>
    <b:Year>2007</b:Year>
    <b:Pages>440-445</b:Pages>
    <b:RefOrder>8</b:RefOrder>
  </b:Source>
  <b:Source>
    <b:Tag>SLi18</b:Tag>
    <b:SourceType>JournalArticle</b:SourceType>
    <b:Guid>{F97D216A-ACD1-47DA-BE65-8225EE926639}</b:Guid>
    <b:Author>
      <b:Author>
        <b:NameList>
          <b:Person>
            <b:Last>Liu</b:Last>
            <b:First>S.</b:First>
          </b:Person>
          <b:Person>
            <b:Last>Mei</b:Last>
            <b:First>L.</b:First>
          </b:Person>
          <b:Person>
            <b:Last>Liang</b:Last>
            <b:First>X.</b:First>
          </b:Person>
          <b:Person>
            <b:Last>Liao</b:Last>
            <b:First>L.</b:First>
          </b:Person>
          <b:Person>
            <b:Last>Lv</b:Last>
            <b:First>G.</b:First>
          </b:Person>
          <b:Person>
            <b:Last>Ma</b:Last>
            <b:First>S.</b:First>
          </b:Person>
          <b:Person>
            <b:Last>Lu</b:Last>
            <b:First>S.</b:First>
          </b:Person>
          <b:Person>
            <b:Last>Abdelkader</b:Last>
            <b:First>A.</b:First>
          </b:Person>
          <b:Person>
            <b:Last>Xi</b:Last>
            <b:First>K.</b:First>
          </b:Person>
        </b:NameList>
      </b:Author>
    </b:Author>
    <b:Title>Anchoring Fe 3 O 4 nanoparticles on carbon nanotubes for microwave-induced catalytic degradation of antibiotics</b:Title>
    <b:JournalName>ACS Applied Materials and Interfaces 10</b:JournalName>
    <b:Year>2018</b:Year>
    <b:Pages>29467-29475</b:Pages>
    <b:City>Washington DC</b:City>
    <b:Publisher>American Chemical Society</b:Publisher>
    <b:RefOrder>4</b:RefOrder>
  </b:Source>
  <b:Source>
    <b:Tag>Kno</b:Tag>
    <b:SourceType>Book</b:SourceType>
    <b:Guid>{1451E422-D8FC-42F0-A361-3AE918AC0011}</b:Guid>
    <b:Author>
      <b:Author>
        <b:NameList>
          <b:Person>
            <b:Last>Knobeler</b:Last>
            <b:First>S</b:First>
          </b:Person>
        </b:NameList>
      </b:Author>
    </b:Author>
    <b:Title>The resistance phenomenon in microbes and infectious disease vectors: implications for human health and strategies for containment</b:Title>
    <b:Year>2003</b:Year>
    <b:Pages>National Academies Press</b:Pages>
    <b:ConferenceName>Workshop summary</b:ConferenceName>
    <b:City>Washington DC</b:City>
    <b:Publisher>National Academies Press</b:Publisher>
    <b:RefOrder>15</b:RefOrder>
  </b:Source>
  <b:Source>
    <b:Tag>Gum02</b:Tag>
    <b:SourceType>JournalArticle</b:SourceType>
    <b:Guid>{E43FCF99-145C-4D9D-99BA-0DCC44030130}</b:Guid>
    <b:Title> Assessing the impact of antimicrobial resistance</b:Title>
    <b:Year>2002</b:Year>
    <b:Author>
      <b:Author>
        <b:NameList>
          <b:Person>
            <b:Last>Gums</b:Last>
            <b:First>JG</b:First>
          </b:Person>
        </b:NameList>
      </b:Author>
    </b:Author>
    <b:JournalName> Am J Health Syst Pharm</b:JournalName>
    <b:Pages>54-56</b:Pages>
    <b:RefOrder>9</b:RefOrder>
  </b:Source>
  <b:Source>
    <b:Tag>HoP07</b:Tag>
    <b:SourceType>JournalArticle</b:SourceType>
    <b:Guid>{7238CBD8-DDAD-47F1-A4E0-13E7B33A4A2C}</b:Guid>
    <b:Author>
      <b:Author>
        <b:NameList>
          <b:Person>
            <b:Last>Ho</b:Last>
            <b:First>PL</b:First>
          </b:Person>
          <b:Person>
            <b:Last>Wong</b:Last>
            <b:First>RC</b:First>
          </b:Person>
          <b:Person>
            <b:Last>Yip</b:Last>
            <b:First>KS,</b:First>
            <b:Middle>Loke, SL</b:Middle>
          </b:Person>
          <b:Person>
            <b:Last>Leung</b:Last>
            <b:First>MS</b:First>
          </b:Person>
          <b:Person>
            <b:Last>Mak</b:Last>
            <b:First>GC</b:First>
          </b:Person>
        </b:NameList>
      </b:Author>
    </b:Author>
    <b:Title>Antimicrobial resistance in Escherichia coli outpatient urinary isolates from women emerging multidrug resistance phenotypes</b:Title>
    <b:JournalName>Diagn Microbiol Infect Dis</b:JournalName>
    <b:Year>2007</b:Year>
    <b:Pages>439-445</b:Pages>
    <b:RefOrder>7</b:RefOrder>
  </b:Source>
  <b:Source>
    <b:Tag>Eve19</b:Tag>
    <b:SourceType>InternetSite</b:SourceType>
    <b:Guid>{6A7BA820-80E0-4ED1-9176-FF39BFF4E03B}</b:Guid>
    <b:Author>
      <b:Author>
        <b:NameList>
          <b:Person>
            <b:Last>Everett Stephens</b:Last>
            <b:First>MD</b:First>
          </b:Person>
        </b:NameList>
      </b:Author>
    </b:Author>
    <b:Title>EMedicineHealth</b:Title>
    <b:Year>2019</b:Year>
    <b:Month>September</b:Month>
    <b:Day>27</b:Day>
    <b:YearAccessed>2021</b:YearAccessed>
    <b:MonthAccessed>April</b:MonthAccessed>
    <b:DayAccessed>25</b:DayAccessed>
    <b:URL>http://www.emedicinehealth.com/antibiotics/article_m.htm</b:URL>
    <b:RefOrder>6</b:RefOrder>
  </b:Source>
  <b:Source>
    <b:Tag>Llo10</b:Tag>
    <b:SourceType>Book</b:SourceType>
    <b:Guid>{BB792E4A-9B04-45A0-918B-8A7734259DD9}</b:Guid>
    <b:Title>Antibiotic Prescribing Policy</b:Title>
    <b:Year>2010</b:Year>
    <b:Author>
      <b:Author>
        <b:NameList>
          <b:Person>
            <b:Last>Lloyd</b:Last>
            <b:First>W</b:First>
          </b:Person>
          <b:Person>
            <b:Last>Palmer</b:Last>
            <b:First>B</b:First>
          </b:Person>
        </b:NameList>
      </b:Author>
    </b:Author>
    <b:City>Bath</b:City>
    <b:Publisher>Royal United Hospital Bath (RUH)</b:Publisher>
    <b:RefOrder>10</b:RefOrder>
  </b:Source>
  <b:Source>
    <b:Tag>Cen14</b:Tag>
    <b:SourceType>Book</b:SourceType>
    <b:Guid>{C7ABBA20-9A3C-4A19-81AC-E62AD45921C4}</b:Guid>
    <b:Title>Antibiotik Resistance Threats in the United States</b:Title>
    <b:Year>2014</b:Year>
    <b:City>Atlanta</b:City>
    <b:Publisher>CDC</b:Publisher>
    <b:Author>
      <b:Author>
        <b:Corporate>Center for Disease Control and Prevention</b:Corporate>
      </b:Author>
    </b:Author>
    <b:RefOrder>2</b:RefOrder>
  </b:Source>
  <b:Source>
    <b:Tag>Kem18</b:Tag>
    <b:SourceType>Book</b:SourceType>
    <b:Guid>{C8888C3D-3266-4D05-8908-07C60FAA5EF0}</b:Guid>
    <b:Title>Peraturan Menteri Kesehatan Repbulik Indonesia No.47: tentang Pelayanan Kesehatan Gawat Darurat</b:Title>
    <b:Year>2018</b:Year>
    <b:Author>
      <b:Author>
        <b:Corporate>Kementerian Kesehatan Republik Indonesia</b:Corporate>
      </b:Author>
    </b:Author>
    <b:City>Jakarta</b:City>
    <b:Publisher>KEMENKES RI</b:Publisher>
    <b:RefOrder>16</b:RefOrder>
  </b:Source>
  <b:Source>
    <b:Tag>Con07</b:Tag>
    <b:SourceType>Book</b:SourceType>
    <b:Guid>{A3F2DE4E-91C4-4980-8CC3-7C7108730176}</b:Guid>
    <b:Author>
      <b:Author>
        <b:NameList>
          <b:Person>
            <b:Last>Sevila</b:Last>
            <b:First>Consuelo</b:First>
            <b:Middle>G</b:Middle>
          </b:Person>
        </b:NameList>
      </b:Author>
    </b:Author>
    <b:Title>Research Method</b:Title>
    <b:Year>2007</b:Year>
    <b:City>Quezon City</b:City>
    <b:Publisher>Rex Printing Company</b:Publisher>
    <b:RefOrder>11</b:RefOrder>
  </b:Source>
  <b:Source>
    <b:Tag>Per20</b:Tag>
    <b:SourceType>Report</b:SourceType>
    <b:Guid>{22774CD7-D878-495F-9296-23E163E5AD2D}</b:Guid>
    <b:Author>
      <b:Author>
        <b:Corporate>Perhimpunan Dokter Paru Indonesia (PDPI)</b:Corporate>
      </b:Author>
    </b:Author>
    <b:Title>Outbreak Pnemonia di Tiongkok</b:Title>
    <b:Year>2020</b:Year>
    <b:Publisher>Perhimpunan Dokter Paru Indonesia (PDPI)</b:Publisher>
    <b:City>jakarta</b:City>
    <b:RefOrder>17</b:RefOrder>
  </b:Source>
  <b:Source>
    <b:Tag>Ame12</b:Tag>
    <b:SourceType>Book</b:SourceType>
    <b:Guid>{72EBD6B7-3742-4B43-BDC8-6DAE434AE1B8}</b:Guid>
    <b:Title>Drug Information Handbook 21</b:Title>
    <b:Year>2012</b:Year>
    <b:Publisher>Lexicomp</b:Publisher>
    <b:City>Ohio</b:City>
    <b:Author>
      <b:Author>
        <b:Corporate>American Pharmacist Association</b:Corporate>
      </b:Author>
    </b:Author>
    <b:RefOrder>18</b:RefOrder>
  </b:Source>
  <b:Source>
    <b:Tag>Dep09</b:Tag>
    <b:SourceType>InternetSite</b:SourceType>
    <b:Guid>{EAB269B5-0E68-4483-B47C-64977EA2BA98}</b:Guid>
    <b:Author>
      <b:Author>
        <b:Corporate>Departemen Kesehatan Republik Indonesia</b:Corporate>
      </b:Author>
    </b:Author>
    <b:Title>Sistem kesehatan nasional</b:Title>
    <b:Year>2009</b:Year>
    <b:YearAccessed>2021</b:YearAccessed>
    <b:MonthAccessed>Juny</b:MonthAccessed>
    <b:DayAccessed>6</b:DayAccessed>
    <b:URL>www.depkes.go.id</b:URL>
    <b:RefOrder>12</b:RefOrder>
  </b:Source>
  <b:Source>
    <b:Tag>Wor98</b:Tag>
    <b:SourceType>Book</b:SourceType>
    <b:Guid>{1E0D1970-4BAC-4855-8C05-AFBD6E8FC571}</b:Guid>
    <b:Title>Programme On Mental Health</b:Title>
    <b:Year>1998</b:Year>
    <b:Author>
      <b:Author>
        <b:Corporate>World Health organization</b:Corporate>
      </b:Author>
    </b:Author>
    <b:Publisher>Devision Of Mental Health And Prevention Of Subtance Abuse</b:Publisher>
    <b:RefOrder>13</b:RefOrder>
  </b:Source>
  <b:Source>
    <b:Tag>Men18</b:Tag>
    <b:SourceType>Book</b:SourceType>
    <b:Guid>{D402BB43-B8B7-46FB-B35D-040D1ABFE224}</b:Guid>
    <b:Title>Peraturan Menteri Kesehatan Republik Indonesia Nomor 47 Tahun 2018 Tentang Pelayanan Kegawatdaruratan</b:Title>
    <b:Year>2018</b:Year>
    <b:Author>
      <b:Author>
        <b:Corporate>Mentri Kesehatan Republik Indonesia</b:Corporate>
      </b:Author>
    </b:Author>
    <b:City>Jakarta</b:City>
    <b:Publisher>Kementerian Kesehatan Republik Indonesia</b:Publisher>
    <b:RefOrder>19</b:RefOrder>
  </b:Source>
  <b:Source>
    <b:Tag>Kem11</b:Tag>
    <b:SourceType>Book</b:SourceType>
    <b:Guid>{AABD7884-921D-4835-92CF-50D2E9C6748B}</b:Guid>
    <b:Author>
      <b:Author>
        <b:Corporate>Kementerian Kesehatan Repeblik Indonsia</b:Corporate>
      </b:Author>
    </b:Author>
    <b:Title>Pedoman Pelayanan Kefarmasian Untuk Terapi Antibiotik</b:Title>
    <b:Year>2011</b:Year>
    <b:City>Jakarta</b:City>
    <b:Publisher>Kementrian Kesehatan Republik Indonesia</b:Publisher>
    <b:RefOrder>20</b:RefOrder>
  </b:Source>
</b:Sources>
</file>

<file path=customXml/itemProps1.xml><?xml version="1.0" encoding="utf-8"?>
<ds:datastoreItem xmlns:ds="http://schemas.openxmlformats.org/officeDocument/2006/customXml" ds:itemID="{76CB9691-67B4-4201-A092-4E01764F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2021-08-13T03:46:00Z</cp:lastPrinted>
  <dcterms:created xsi:type="dcterms:W3CDTF">2021-08-08T22:09:00Z</dcterms:created>
  <dcterms:modified xsi:type="dcterms:W3CDTF">2021-08-13T03:46:00Z</dcterms:modified>
</cp:coreProperties>
</file>